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D55D59">
      <w:pPr>
        <w:autoSpaceDE w:val="0"/>
        <w:autoSpaceDN w:val="0"/>
        <w:adjustRightInd w:val="0"/>
        <w:jc w:val="center"/>
        <w:rPr>
          <w:rFonts w:ascii="黑体" w:hAnsi="黑体" w:eastAsia="黑体" w:cs="仿宋"/>
          <w:kern w:val="0"/>
          <w:sz w:val="36"/>
          <w:szCs w:val="36"/>
        </w:rPr>
      </w:pPr>
      <w:r>
        <w:rPr>
          <w:rFonts w:hint="eastAsia" w:ascii="黑体" w:hAnsi="黑体" w:eastAsia="黑体" w:cs="仿宋"/>
          <w:kern w:val="0"/>
          <w:sz w:val="36"/>
          <w:szCs w:val="36"/>
          <w:lang w:val="en-US" w:eastAsia="zh-CN"/>
        </w:rPr>
        <w:t>2025年河北省</w:t>
      </w:r>
      <w:r>
        <w:rPr>
          <w:rFonts w:hint="eastAsia" w:ascii="黑体" w:hAnsi="黑体" w:eastAsia="黑体" w:cs="仿宋"/>
          <w:kern w:val="0"/>
          <w:sz w:val="36"/>
          <w:szCs w:val="36"/>
        </w:rPr>
        <w:t>职业院校技能大赛</w:t>
      </w:r>
      <w:r>
        <w:rPr>
          <w:rFonts w:hint="eastAsia" w:ascii="黑体" w:hAnsi="黑体" w:eastAsia="黑体" w:cs="仿宋"/>
          <w:kern w:val="0"/>
          <w:sz w:val="36"/>
          <w:szCs w:val="36"/>
          <w:lang w:val="en-US" w:eastAsia="zh-CN"/>
        </w:rPr>
        <w:t>植物嫁接赛项</w:t>
      </w:r>
      <w:r>
        <w:rPr>
          <w:rFonts w:hint="eastAsia" w:ascii="黑体" w:hAnsi="黑体" w:eastAsia="黑体" w:cs="仿宋"/>
          <w:kern w:val="0"/>
          <w:sz w:val="36"/>
          <w:szCs w:val="36"/>
        </w:rPr>
        <w:t>题库</w:t>
      </w:r>
    </w:p>
    <w:p w14:paraId="14A8A71A">
      <w:pPr>
        <w:autoSpaceDE w:val="0"/>
        <w:autoSpaceDN w:val="0"/>
        <w:adjustRightInd w:val="0"/>
        <w:jc w:val="center"/>
        <w:rPr>
          <w:rFonts w:hint="default" w:ascii="黑体" w:hAnsi="黑体" w:eastAsia="黑体" w:cs="仿宋"/>
          <w:kern w:val="0"/>
          <w:sz w:val="36"/>
          <w:szCs w:val="36"/>
          <w:lang w:val="en-US" w:eastAsia="zh-CN"/>
        </w:rPr>
      </w:pPr>
      <w:r>
        <w:rPr>
          <w:rFonts w:hint="eastAsia" w:ascii="黑体" w:hAnsi="黑体" w:eastAsia="黑体" w:cs="仿宋"/>
          <w:kern w:val="0"/>
          <w:sz w:val="36"/>
          <w:szCs w:val="36"/>
          <w:lang w:val="en-US" w:eastAsia="zh-CN"/>
        </w:rPr>
        <w:t>参考题型</w:t>
      </w:r>
    </w:p>
    <w:p w14:paraId="27D7D44D">
      <w:pPr>
        <w:spacing w:line="600" w:lineRule="exact"/>
        <w:ind w:right="-27" w:rightChars="-13" w:firstLine="640" w:firstLineChars="200"/>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t>类型一</w:t>
      </w:r>
    </w:p>
    <w:p w14:paraId="5C5D7CED">
      <w:pPr>
        <w:spacing w:line="600" w:lineRule="exact"/>
        <w:ind w:right="-27" w:rightChars="-13" w:firstLine="640" w:firstLineChars="200"/>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t>考查学生对应专业课程的基本知识、基本技能和基本素养。</w:t>
      </w:r>
    </w:p>
    <w:p w14:paraId="26CB6E59">
      <w:pPr>
        <w:jc w:val="center"/>
        <w:rPr>
          <w:rFonts w:hint="eastAsia" w:ascii="仿宋" w:hAnsi="仿宋" w:eastAsia="仿宋" w:cs="仿宋"/>
          <w:b/>
          <w:color w:val="000000"/>
          <w:sz w:val="24"/>
          <w:szCs w:val="24"/>
          <w:lang w:bidi="zh-CN"/>
        </w:rPr>
      </w:pPr>
      <w:r>
        <w:rPr>
          <w:rFonts w:hint="eastAsia" w:ascii="仿宋" w:hAnsi="仿宋" w:eastAsia="仿宋" w:cs="仿宋"/>
          <w:b/>
          <w:color w:val="000000"/>
          <w:sz w:val="24"/>
          <w:szCs w:val="24"/>
          <w:lang w:bidi="zh-CN"/>
        </w:rPr>
        <w:t>表1 单选题</w:t>
      </w:r>
    </w:p>
    <w:tbl>
      <w:tblPr>
        <w:tblStyle w:val="11"/>
        <w:tblW w:w="129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25"/>
        <w:gridCol w:w="2922"/>
        <w:gridCol w:w="1903"/>
        <w:gridCol w:w="1150"/>
        <w:gridCol w:w="1101"/>
        <w:gridCol w:w="2324"/>
      </w:tblGrid>
      <w:tr w14:paraId="2DDFC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525" w:type="dxa"/>
            <w:vAlign w:val="center"/>
          </w:tcPr>
          <w:p w14:paraId="0DC4521A">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赛项名称</w:t>
            </w:r>
          </w:p>
        </w:tc>
        <w:tc>
          <w:tcPr>
            <w:tcW w:w="2922" w:type="dxa"/>
            <w:vAlign w:val="center"/>
          </w:tcPr>
          <w:p w14:paraId="39D274BE">
            <w:pPr>
              <w:pStyle w:val="10"/>
              <w:adjustRightInd w:val="0"/>
              <w:snapToGrid w:val="0"/>
              <w:spacing w:after="0"/>
              <w:ind w:left="0" w:leftChars="0" w:firstLine="0" w:firstLineChars="0"/>
              <w:jc w:val="center"/>
              <w:rPr>
                <w:rFonts w:eastAsia="仿宋"/>
                <w:bCs/>
                <w:color w:val="000000"/>
                <w:sz w:val="24"/>
                <w:szCs w:val="24"/>
                <w:lang w:val="en-US"/>
              </w:rPr>
            </w:pPr>
            <w:r>
              <w:rPr>
                <w:rFonts w:hint="eastAsia" w:eastAsia="仿宋"/>
                <w:bCs/>
                <w:color w:val="000000"/>
                <w:sz w:val="24"/>
                <w:szCs w:val="24"/>
                <w:lang w:val="en-US"/>
              </w:rPr>
              <w:t>植物嫁接</w:t>
            </w:r>
          </w:p>
        </w:tc>
        <w:tc>
          <w:tcPr>
            <w:tcW w:w="3053" w:type="dxa"/>
            <w:gridSpan w:val="2"/>
            <w:vAlign w:val="center"/>
          </w:tcPr>
          <w:p w14:paraId="43F129FD">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英语名称</w:t>
            </w:r>
          </w:p>
        </w:tc>
        <w:tc>
          <w:tcPr>
            <w:tcW w:w="3425" w:type="dxa"/>
            <w:gridSpan w:val="2"/>
            <w:vAlign w:val="center"/>
          </w:tcPr>
          <w:p w14:paraId="5819CCFD">
            <w:pPr>
              <w:pStyle w:val="10"/>
              <w:adjustRightInd w:val="0"/>
              <w:snapToGrid w:val="0"/>
              <w:spacing w:after="0"/>
              <w:ind w:left="0" w:leftChars="0" w:firstLine="0" w:firstLineChars="0"/>
              <w:jc w:val="center"/>
              <w:rPr>
                <w:rFonts w:hint="eastAsia" w:eastAsia="仿宋"/>
                <w:bCs/>
                <w:color w:val="000000"/>
                <w:sz w:val="24"/>
                <w:szCs w:val="24"/>
                <w:lang w:val="en-US"/>
              </w:rPr>
            </w:pPr>
            <w:r>
              <w:rPr>
                <w:rFonts w:hint="eastAsia" w:eastAsia="仿宋"/>
                <w:b/>
                <w:color w:val="000000"/>
                <w:sz w:val="24"/>
                <w:szCs w:val="24"/>
                <w:lang w:val="en-US"/>
              </w:rPr>
              <w:t xml:space="preserve">Plant Grafting </w:t>
            </w:r>
          </w:p>
        </w:tc>
      </w:tr>
      <w:tr w14:paraId="47186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525" w:type="dxa"/>
            <w:vAlign w:val="center"/>
          </w:tcPr>
          <w:p w14:paraId="79140147">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赛项编号</w:t>
            </w:r>
          </w:p>
        </w:tc>
        <w:tc>
          <w:tcPr>
            <w:tcW w:w="2922" w:type="dxa"/>
            <w:vAlign w:val="center"/>
          </w:tcPr>
          <w:p w14:paraId="15D4C1DE">
            <w:pPr>
              <w:pStyle w:val="10"/>
              <w:adjustRightInd w:val="0"/>
              <w:snapToGrid w:val="0"/>
              <w:spacing w:after="0"/>
              <w:ind w:left="0" w:leftChars="0" w:firstLine="0" w:firstLineChars="0"/>
              <w:jc w:val="center"/>
              <w:rPr>
                <w:rFonts w:eastAsia="仿宋"/>
                <w:b/>
                <w:color w:val="000000"/>
                <w:sz w:val="24"/>
                <w:szCs w:val="24"/>
                <w:lang w:val="en-US"/>
              </w:rPr>
            </w:pPr>
            <w:r>
              <w:rPr>
                <w:rFonts w:hint="eastAsia" w:eastAsia="仿宋"/>
                <w:b/>
                <w:color w:val="000000"/>
                <w:sz w:val="24"/>
                <w:szCs w:val="24"/>
                <w:lang w:val="en-US"/>
              </w:rPr>
              <w:t>ZZ002</w:t>
            </w:r>
          </w:p>
        </w:tc>
        <w:tc>
          <w:tcPr>
            <w:tcW w:w="3053" w:type="dxa"/>
            <w:gridSpan w:val="2"/>
            <w:vAlign w:val="center"/>
          </w:tcPr>
          <w:p w14:paraId="05AE03DA">
            <w:pPr>
              <w:pStyle w:val="10"/>
              <w:adjustRightInd w:val="0"/>
              <w:snapToGrid w:val="0"/>
              <w:spacing w:after="0"/>
              <w:ind w:left="0" w:leftChars="0" w:firstLine="0" w:firstLineChars="0"/>
              <w:jc w:val="center"/>
              <w:rPr>
                <w:rFonts w:eastAsia="仿宋"/>
                <w:b/>
                <w:color w:val="000000"/>
                <w:sz w:val="24"/>
                <w:szCs w:val="24"/>
                <w:lang w:val="en-US"/>
              </w:rPr>
            </w:pPr>
            <w:r>
              <w:rPr>
                <w:rFonts w:hint="eastAsia" w:eastAsia="仿宋"/>
                <w:b/>
                <w:color w:val="000000"/>
                <w:sz w:val="24"/>
                <w:szCs w:val="24"/>
                <w:lang w:val="en-US"/>
              </w:rPr>
              <w:t>归属产业</w:t>
            </w:r>
          </w:p>
        </w:tc>
        <w:tc>
          <w:tcPr>
            <w:tcW w:w="3425" w:type="dxa"/>
            <w:gridSpan w:val="2"/>
            <w:vAlign w:val="center"/>
          </w:tcPr>
          <w:p w14:paraId="003DDB4B">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乡村振兴与绿色发展</w:t>
            </w:r>
          </w:p>
        </w:tc>
      </w:tr>
      <w:tr w14:paraId="6BC33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925" w:type="dxa"/>
            <w:gridSpan w:val="6"/>
            <w:vAlign w:val="center"/>
          </w:tcPr>
          <w:p w14:paraId="7DD6A29C">
            <w:pPr>
              <w:pStyle w:val="10"/>
              <w:adjustRightInd w:val="0"/>
              <w:snapToGrid w:val="0"/>
              <w:spacing w:after="0"/>
              <w:ind w:left="0" w:leftChars="0" w:firstLine="0" w:firstLineChars="0"/>
              <w:jc w:val="center"/>
              <w:rPr>
                <w:rFonts w:eastAsia="仿宋"/>
                <w:b/>
                <w:color w:val="000000"/>
                <w:sz w:val="24"/>
                <w:szCs w:val="24"/>
                <w:lang w:val="en-US"/>
              </w:rPr>
            </w:pPr>
            <w:r>
              <w:rPr>
                <w:rFonts w:hint="eastAsia" w:eastAsia="仿宋"/>
                <w:b/>
                <w:color w:val="000000"/>
                <w:sz w:val="24"/>
                <w:szCs w:val="24"/>
                <w:lang w:val="en-US"/>
              </w:rPr>
              <w:t>赛项组别</w:t>
            </w:r>
          </w:p>
        </w:tc>
      </w:tr>
      <w:tr w14:paraId="724F3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447" w:type="dxa"/>
            <w:gridSpan w:val="2"/>
            <w:vAlign w:val="center"/>
          </w:tcPr>
          <w:p w14:paraId="0FD21F23">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中职组</w:t>
            </w:r>
          </w:p>
        </w:tc>
        <w:tc>
          <w:tcPr>
            <w:tcW w:w="6478" w:type="dxa"/>
            <w:gridSpan w:val="4"/>
            <w:vAlign w:val="center"/>
          </w:tcPr>
          <w:p w14:paraId="71B2959D">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高职组</w:t>
            </w:r>
          </w:p>
        </w:tc>
      </w:tr>
      <w:tr w14:paraId="4D842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447" w:type="dxa"/>
            <w:gridSpan w:val="2"/>
            <w:vAlign w:val="center"/>
          </w:tcPr>
          <w:p w14:paraId="2D57C9C5">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sym w:font="Wingdings 2" w:char="0052"/>
            </w:r>
            <w:r>
              <w:rPr>
                <w:rFonts w:hint="eastAsia" w:eastAsia="仿宋"/>
                <w:b/>
                <w:color w:val="000000"/>
                <w:sz w:val="24"/>
                <w:szCs w:val="24"/>
                <w:lang w:val="en-US"/>
              </w:rPr>
              <w:t xml:space="preserve">学生组 </w:t>
            </w:r>
            <w:r>
              <w:rPr>
                <w:rFonts w:hint="eastAsia" w:eastAsia="仿宋"/>
                <w:b/>
                <w:color w:val="000000"/>
                <w:sz w:val="24"/>
                <w:szCs w:val="24"/>
                <w:lang w:val="en-US"/>
              </w:rPr>
              <w:sym w:font="Wingdings 2" w:char="00A3"/>
            </w:r>
            <w:r>
              <w:rPr>
                <w:rFonts w:hint="eastAsia" w:eastAsia="仿宋"/>
                <w:b/>
                <w:color w:val="000000"/>
                <w:sz w:val="24"/>
                <w:szCs w:val="24"/>
                <w:lang w:val="en-US"/>
              </w:rPr>
              <w:t>教师组 □师生联队试点赛项</w:t>
            </w:r>
          </w:p>
        </w:tc>
        <w:tc>
          <w:tcPr>
            <w:tcW w:w="6478" w:type="dxa"/>
            <w:gridSpan w:val="4"/>
            <w:vAlign w:val="center"/>
          </w:tcPr>
          <w:p w14:paraId="0F52A4A6">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□学生组 □教师组 □师生联队试点赛项</w:t>
            </w:r>
          </w:p>
        </w:tc>
      </w:tr>
      <w:tr w14:paraId="37C15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447" w:type="dxa"/>
            <w:gridSpan w:val="2"/>
            <w:vAlign w:val="center"/>
          </w:tcPr>
          <w:p w14:paraId="5203444E">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题目类型（样例）</w:t>
            </w:r>
          </w:p>
        </w:tc>
        <w:tc>
          <w:tcPr>
            <w:tcW w:w="6478" w:type="dxa"/>
            <w:gridSpan w:val="4"/>
            <w:vAlign w:val="center"/>
          </w:tcPr>
          <w:p w14:paraId="41A6711F">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sym w:font="Wingdings 2" w:char="0052"/>
            </w:r>
            <w:r>
              <w:rPr>
                <w:rFonts w:hint="eastAsia" w:eastAsia="仿宋"/>
                <w:b/>
                <w:color w:val="000000"/>
                <w:sz w:val="24"/>
                <w:szCs w:val="24"/>
                <w:lang w:val="en-US"/>
              </w:rPr>
              <w:t xml:space="preserve">单选题   </w:t>
            </w:r>
            <w:r>
              <w:rPr>
                <w:rFonts w:hint="eastAsia" w:eastAsia="仿宋"/>
                <w:b/>
                <w:color w:val="000000"/>
                <w:sz w:val="24"/>
                <w:szCs w:val="24"/>
                <w:lang w:val="en-US"/>
              </w:rPr>
              <w:sym w:font="Wingdings 2" w:char="00A3"/>
            </w:r>
            <w:r>
              <w:rPr>
                <w:rFonts w:hint="eastAsia" w:eastAsia="仿宋"/>
                <w:b/>
                <w:color w:val="000000"/>
                <w:sz w:val="24"/>
                <w:szCs w:val="24"/>
                <w:lang w:val="en-US"/>
              </w:rPr>
              <w:t xml:space="preserve">多选题  </w:t>
            </w:r>
            <w:r>
              <w:rPr>
                <w:rFonts w:hint="eastAsia" w:eastAsia="仿宋"/>
                <w:b/>
                <w:color w:val="000000"/>
                <w:sz w:val="24"/>
                <w:szCs w:val="24"/>
                <w:lang w:val="en-US"/>
              </w:rPr>
              <w:sym w:font="Wingdings 2" w:char="00A3"/>
            </w:r>
            <w:r>
              <w:rPr>
                <w:rFonts w:hint="eastAsia" w:eastAsia="仿宋"/>
                <w:b/>
                <w:color w:val="000000"/>
                <w:sz w:val="24"/>
                <w:szCs w:val="24"/>
                <w:lang w:val="en-US"/>
              </w:rPr>
              <w:t>是非题</w:t>
            </w:r>
          </w:p>
        </w:tc>
      </w:tr>
      <w:tr w14:paraId="146E9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525" w:type="dxa"/>
            <w:vAlign w:val="center"/>
          </w:tcPr>
          <w:p w14:paraId="6FF07DEF">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题目内容</w:t>
            </w:r>
          </w:p>
        </w:tc>
        <w:tc>
          <w:tcPr>
            <w:tcW w:w="4825" w:type="dxa"/>
            <w:gridSpan w:val="2"/>
            <w:vAlign w:val="center"/>
          </w:tcPr>
          <w:p w14:paraId="3CCD75C1">
            <w:pPr>
              <w:pStyle w:val="10"/>
              <w:adjustRightInd w:val="0"/>
              <w:snapToGrid w:val="0"/>
              <w:spacing w:after="0"/>
              <w:ind w:left="0" w:leftChars="0" w:firstLine="0" w:firstLineChars="0"/>
              <w:jc w:val="center"/>
              <w:rPr>
                <w:rFonts w:hint="eastAsia" w:eastAsia="仿宋"/>
                <w:bCs/>
                <w:color w:val="000000"/>
                <w:sz w:val="24"/>
                <w:szCs w:val="24"/>
                <w:lang w:val="en-US"/>
              </w:rPr>
            </w:pPr>
            <w:r>
              <w:rPr>
                <w:rFonts w:hint="eastAsia" w:eastAsia="仿宋"/>
                <w:b/>
                <w:color w:val="000000"/>
                <w:sz w:val="24"/>
                <w:szCs w:val="24"/>
                <w:lang w:val="en-US"/>
              </w:rPr>
              <w:t>题目选项</w:t>
            </w:r>
          </w:p>
        </w:tc>
        <w:tc>
          <w:tcPr>
            <w:tcW w:w="2251" w:type="dxa"/>
            <w:gridSpan w:val="2"/>
            <w:vAlign w:val="center"/>
          </w:tcPr>
          <w:p w14:paraId="455F97A9">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题目答案</w:t>
            </w:r>
          </w:p>
        </w:tc>
        <w:tc>
          <w:tcPr>
            <w:tcW w:w="2324" w:type="dxa"/>
            <w:vAlign w:val="center"/>
          </w:tcPr>
          <w:p w14:paraId="1064085D">
            <w:pPr>
              <w:pStyle w:val="10"/>
              <w:adjustRightInd w:val="0"/>
              <w:snapToGrid w:val="0"/>
              <w:spacing w:after="0"/>
              <w:ind w:left="0" w:leftChars="0" w:firstLine="0" w:firstLineChars="0"/>
              <w:jc w:val="center"/>
              <w:rPr>
                <w:rFonts w:eastAsia="仿宋"/>
                <w:b/>
                <w:color w:val="000000"/>
                <w:sz w:val="24"/>
                <w:szCs w:val="24"/>
                <w:lang w:val="en-US"/>
              </w:rPr>
            </w:pPr>
            <w:r>
              <w:rPr>
                <w:rFonts w:hint="eastAsia" w:eastAsia="仿宋"/>
                <w:b/>
                <w:color w:val="000000"/>
                <w:sz w:val="24"/>
                <w:szCs w:val="24"/>
                <w:lang w:val="en-US"/>
              </w:rPr>
              <w:t>难度系数</w:t>
            </w:r>
          </w:p>
        </w:tc>
      </w:tr>
      <w:tr w14:paraId="01023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525" w:type="dxa"/>
            <w:vAlign w:val="center"/>
          </w:tcPr>
          <w:p w14:paraId="5BD85783">
            <w:pPr>
              <w:rPr>
                <w:rFonts w:hint="eastAsia" w:ascii="仿宋" w:hAnsi="仿宋" w:eastAsia="仿宋" w:cs="仿宋"/>
                <w:color w:val="000000"/>
                <w:sz w:val="24"/>
                <w:szCs w:val="24"/>
                <w:lang w:bidi="zh-CN"/>
              </w:rPr>
            </w:pPr>
            <w:r>
              <w:rPr>
                <w:rFonts w:hint="eastAsia" w:ascii="仿宋_GB2312" w:hAnsi="仿宋_GB2312" w:eastAsia="仿宋_GB2312" w:cs="仿宋_GB2312"/>
                <w:sz w:val="24"/>
                <w:szCs w:val="24"/>
              </w:rPr>
              <w:t>番茄只留一个主干，及时摘除所有侧枝，这种整枝方式是（ ）。</w:t>
            </w:r>
          </w:p>
        </w:tc>
        <w:tc>
          <w:tcPr>
            <w:tcW w:w="4825" w:type="dxa"/>
            <w:gridSpan w:val="2"/>
            <w:vAlign w:val="center"/>
          </w:tcPr>
          <w:p w14:paraId="7785C8E6">
            <w:pPr>
              <w:spacing w:line="360" w:lineRule="auto"/>
              <w:ind w:left="240" w:hanging="240" w:hangingChars="10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A.双干整枝   B.三干整枝</w:t>
            </w:r>
          </w:p>
          <w:p w14:paraId="32780658">
            <w:pPr>
              <w:spacing w:line="360" w:lineRule="auto"/>
              <w:rPr>
                <w:rFonts w:hint="eastAsia" w:ascii="仿宋" w:hAnsi="仿宋" w:eastAsia="仿宋" w:cs="仿宋"/>
                <w:color w:val="000000"/>
                <w:sz w:val="24"/>
                <w:szCs w:val="24"/>
                <w:lang w:bidi="zh-CN"/>
              </w:rPr>
            </w:pPr>
            <w:r>
              <w:rPr>
                <w:rFonts w:hint="eastAsia" w:ascii="仿宋_GB2312" w:hAnsi="仿宋_GB2312" w:eastAsia="仿宋_GB2312" w:cs="仿宋_GB2312"/>
                <w:sz w:val="24"/>
                <w:szCs w:val="24"/>
              </w:rPr>
              <w:t>C.单干整枝  D.多干整枝</w:t>
            </w:r>
            <w:r>
              <w:rPr>
                <w:rFonts w:hint="eastAsia" w:ascii="仿宋_GB2312" w:hAnsi="仿宋_GB2312" w:eastAsia="仿宋_GB2312" w:cs="仿宋_GB2312"/>
                <w:sz w:val="24"/>
                <w:szCs w:val="24"/>
              </w:rPr>
              <w:tab/>
            </w:r>
          </w:p>
        </w:tc>
        <w:tc>
          <w:tcPr>
            <w:tcW w:w="2251" w:type="dxa"/>
            <w:gridSpan w:val="2"/>
            <w:vAlign w:val="center"/>
          </w:tcPr>
          <w:p w14:paraId="39664BA3">
            <w:pPr>
              <w:pStyle w:val="10"/>
              <w:adjustRightInd w:val="0"/>
              <w:snapToGrid w:val="0"/>
              <w:spacing w:after="0"/>
              <w:ind w:left="0" w:leftChars="0" w:firstLine="0" w:firstLineChars="0"/>
              <w:jc w:val="center"/>
              <w:rPr>
                <w:rFonts w:hint="eastAsia" w:eastAsia="仿宋"/>
                <w:color w:val="000000"/>
                <w:sz w:val="24"/>
                <w:szCs w:val="24"/>
                <w:lang w:val="en-US"/>
              </w:rPr>
            </w:pPr>
            <w:r>
              <w:rPr>
                <w:rFonts w:hint="eastAsia" w:eastAsia="仿宋"/>
                <w:color w:val="000000"/>
                <w:sz w:val="24"/>
                <w:szCs w:val="24"/>
                <w:lang w:val="en-US"/>
              </w:rPr>
              <w:t>C</w:t>
            </w:r>
          </w:p>
        </w:tc>
        <w:tc>
          <w:tcPr>
            <w:tcW w:w="2324" w:type="dxa"/>
            <w:vAlign w:val="center"/>
          </w:tcPr>
          <w:p w14:paraId="626F1B13">
            <w:pPr>
              <w:pStyle w:val="10"/>
              <w:adjustRightInd w:val="0"/>
              <w:snapToGrid w:val="0"/>
              <w:spacing w:after="0"/>
              <w:ind w:left="0" w:leftChars="0" w:firstLine="0" w:firstLineChars="0"/>
              <w:jc w:val="center"/>
              <w:rPr>
                <w:rFonts w:eastAsia="仿宋"/>
                <w:color w:val="000000"/>
                <w:sz w:val="24"/>
                <w:szCs w:val="24"/>
                <w:lang w:val="en-US"/>
              </w:rPr>
            </w:pPr>
            <w:r>
              <w:rPr>
                <w:rFonts w:hint="eastAsia" w:eastAsia="仿宋"/>
                <w:color w:val="000000"/>
                <w:sz w:val="24"/>
                <w:szCs w:val="24"/>
                <w:lang w:val="en-US"/>
              </w:rPr>
              <w:t>0.53</w:t>
            </w:r>
          </w:p>
        </w:tc>
      </w:tr>
    </w:tbl>
    <w:p w14:paraId="6C4460D2">
      <w:pPr>
        <w:jc w:val="center"/>
        <w:rPr>
          <w:rFonts w:hint="eastAsia" w:ascii="仿宋" w:hAnsi="仿宋" w:eastAsia="仿宋" w:cs="仿宋"/>
          <w:b/>
          <w:color w:val="000000"/>
          <w:sz w:val="24"/>
          <w:szCs w:val="24"/>
          <w:lang w:bidi="zh-CN"/>
        </w:rPr>
      </w:pPr>
    </w:p>
    <w:p w14:paraId="56DDD32A">
      <w:pPr>
        <w:jc w:val="center"/>
        <w:rPr>
          <w:rFonts w:hint="eastAsia" w:ascii="仿宋" w:hAnsi="仿宋" w:eastAsia="仿宋" w:cs="仿宋"/>
          <w:b/>
          <w:color w:val="000000"/>
          <w:sz w:val="24"/>
          <w:szCs w:val="24"/>
          <w:lang w:bidi="zh-CN"/>
        </w:rPr>
      </w:pPr>
      <w:r>
        <w:rPr>
          <w:rFonts w:hint="eastAsia" w:ascii="仿宋" w:hAnsi="仿宋" w:eastAsia="仿宋" w:cs="仿宋"/>
          <w:b/>
          <w:color w:val="000000"/>
          <w:sz w:val="24"/>
          <w:szCs w:val="24"/>
          <w:lang w:bidi="zh-CN"/>
        </w:rPr>
        <w:br w:type="page"/>
      </w:r>
      <w:r>
        <w:rPr>
          <w:rFonts w:hint="eastAsia" w:ascii="仿宋" w:hAnsi="仿宋" w:eastAsia="仿宋" w:cs="仿宋"/>
          <w:b/>
          <w:color w:val="000000"/>
          <w:sz w:val="24"/>
          <w:szCs w:val="24"/>
          <w:lang w:bidi="zh-CN"/>
        </w:rPr>
        <w:t>表2 多选题</w:t>
      </w:r>
    </w:p>
    <w:tbl>
      <w:tblPr>
        <w:tblStyle w:val="11"/>
        <w:tblW w:w="130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12"/>
        <w:gridCol w:w="2872"/>
        <w:gridCol w:w="2710"/>
        <w:gridCol w:w="408"/>
        <w:gridCol w:w="1169"/>
        <w:gridCol w:w="2315"/>
      </w:tblGrid>
      <w:tr w14:paraId="571EC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2" w:type="dxa"/>
            <w:vAlign w:val="center"/>
          </w:tcPr>
          <w:p w14:paraId="15A36A19">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赛项名称</w:t>
            </w:r>
          </w:p>
        </w:tc>
        <w:tc>
          <w:tcPr>
            <w:tcW w:w="2872" w:type="dxa"/>
            <w:vAlign w:val="center"/>
          </w:tcPr>
          <w:p w14:paraId="456D0E72">
            <w:pPr>
              <w:pStyle w:val="10"/>
              <w:adjustRightInd w:val="0"/>
              <w:snapToGrid w:val="0"/>
              <w:spacing w:after="0"/>
              <w:ind w:left="0" w:leftChars="0" w:firstLine="0" w:firstLineChars="0"/>
              <w:jc w:val="center"/>
              <w:rPr>
                <w:rFonts w:eastAsia="仿宋"/>
                <w:bCs/>
                <w:color w:val="000000"/>
                <w:sz w:val="24"/>
                <w:szCs w:val="24"/>
                <w:lang w:val="en-US"/>
              </w:rPr>
            </w:pPr>
            <w:r>
              <w:rPr>
                <w:rFonts w:hint="eastAsia" w:eastAsia="仿宋"/>
                <w:bCs/>
                <w:color w:val="000000"/>
                <w:sz w:val="24"/>
                <w:szCs w:val="24"/>
                <w:lang w:val="en-US"/>
              </w:rPr>
              <w:t>植物嫁接</w:t>
            </w:r>
          </w:p>
        </w:tc>
        <w:tc>
          <w:tcPr>
            <w:tcW w:w="3118" w:type="dxa"/>
            <w:gridSpan w:val="2"/>
            <w:vAlign w:val="center"/>
          </w:tcPr>
          <w:p w14:paraId="3EE89F3F">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英语名称</w:t>
            </w:r>
          </w:p>
        </w:tc>
        <w:tc>
          <w:tcPr>
            <w:tcW w:w="3484" w:type="dxa"/>
            <w:gridSpan w:val="2"/>
            <w:vAlign w:val="center"/>
          </w:tcPr>
          <w:p w14:paraId="5844266E">
            <w:pPr>
              <w:pStyle w:val="10"/>
              <w:adjustRightInd w:val="0"/>
              <w:snapToGrid w:val="0"/>
              <w:spacing w:after="0"/>
              <w:ind w:left="0" w:leftChars="0" w:firstLine="0" w:firstLineChars="0"/>
              <w:jc w:val="center"/>
              <w:rPr>
                <w:rFonts w:hint="eastAsia" w:eastAsia="仿宋"/>
                <w:bCs/>
                <w:color w:val="000000"/>
                <w:sz w:val="24"/>
                <w:szCs w:val="24"/>
                <w:lang w:val="en-US"/>
              </w:rPr>
            </w:pPr>
            <w:r>
              <w:rPr>
                <w:rFonts w:hint="eastAsia" w:eastAsia="仿宋"/>
                <w:b/>
                <w:color w:val="000000"/>
                <w:sz w:val="24"/>
                <w:szCs w:val="24"/>
                <w:lang w:val="en-US"/>
              </w:rPr>
              <w:t xml:space="preserve">Plant Grafting </w:t>
            </w:r>
          </w:p>
        </w:tc>
      </w:tr>
      <w:tr w14:paraId="0C023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2" w:type="dxa"/>
            <w:vAlign w:val="center"/>
          </w:tcPr>
          <w:p w14:paraId="384A52A7">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赛项编号</w:t>
            </w:r>
          </w:p>
        </w:tc>
        <w:tc>
          <w:tcPr>
            <w:tcW w:w="2872" w:type="dxa"/>
            <w:vAlign w:val="center"/>
          </w:tcPr>
          <w:p w14:paraId="1727F674">
            <w:pPr>
              <w:pStyle w:val="10"/>
              <w:adjustRightInd w:val="0"/>
              <w:snapToGrid w:val="0"/>
              <w:spacing w:after="0"/>
              <w:ind w:left="0" w:leftChars="0" w:firstLine="0" w:firstLineChars="0"/>
              <w:jc w:val="center"/>
              <w:rPr>
                <w:rFonts w:eastAsia="仿宋"/>
                <w:b/>
                <w:color w:val="000000"/>
                <w:sz w:val="24"/>
                <w:szCs w:val="24"/>
                <w:lang w:val="en-US"/>
              </w:rPr>
            </w:pPr>
            <w:r>
              <w:rPr>
                <w:rFonts w:hint="eastAsia" w:eastAsia="仿宋"/>
                <w:b/>
                <w:color w:val="000000"/>
                <w:sz w:val="24"/>
                <w:szCs w:val="24"/>
                <w:lang w:val="en-US"/>
              </w:rPr>
              <w:t>ZZ002</w:t>
            </w:r>
          </w:p>
        </w:tc>
        <w:tc>
          <w:tcPr>
            <w:tcW w:w="3118" w:type="dxa"/>
            <w:gridSpan w:val="2"/>
            <w:vAlign w:val="center"/>
          </w:tcPr>
          <w:p w14:paraId="785CCF52">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归属产业</w:t>
            </w:r>
          </w:p>
        </w:tc>
        <w:tc>
          <w:tcPr>
            <w:tcW w:w="3484" w:type="dxa"/>
            <w:gridSpan w:val="2"/>
            <w:vAlign w:val="center"/>
          </w:tcPr>
          <w:p w14:paraId="091F0F14">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乡村振兴与绿色发展</w:t>
            </w:r>
          </w:p>
        </w:tc>
      </w:tr>
      <w:tr w14:paraId="67E44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086" w:type="dxa"/>
            <w:gridSpan w:val="6"/>
            <w:vAlign w:val="center"/>
          </w:tcPr>
          <w:p w14:paraId="4AD33525">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赛项组别</w:t>
            </w:r>
          </w:p>
        </w:tc>
      </w:tr>
      <w:tr w14:paraId="1A219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484" w:type="dxa"/>
            <w:gridSpan w:val="2"/>
            <w:vAlign w:val="center"/>
          </w:tcPr>
          <w:p w14:paraId="0CC01FDE">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中职组</w:t>
            </w:r>
          </w:p>
        </w:tc>
        <w:tc>
          <w:tcPr>
            <w:tcW w:w="6602" w:type="dxa"/>
            <w:gridSpan w:val="4"/>
            <w:vAlign w:val="center"/>
          </w:tcPr>
          <w:p w14:paraId="77DC1FC1">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高职组</w:t>
            </w:r>
          </w:p>
        </w:tc>
      </w:tr>
      <w:tr w14:paraId="38C3A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484" w:type="dxa"/>
            <w:gridSpan w:val="2"/>
            <w:vAlign w:val="center"/>
          </w:tcPr>
          <w:p w14:paraId="0B86673A">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sym w:font="Wingdings 2" w:char="0052"/>
            </w:r>
            <w:r>
              <w:rPr>
                <w:rFonts w:hint="eastAsia" w:eastAsia="仿宋"/>
                <w:b/>
                <w:color w:val="000000"/>
                <w:sz w:val="24"/>
                <w:szCs w:val="24"/>
                <w:lang w:val="en-US"/>
              </w:rPr>
              <w:t>学生组 □教师组 □师生联队试点赛项</w:t>
            </w:r>
          </w:p>
        </w:tc>
        <w:tc>
          <w:tcPr>
            <w:tcW w:w="6602" w:type="dxa"/>
            <w:gridSpan w:val="4"/>
            <w:vAlign w:val="center"/>
          </w:tcPr>
          <w:p w14:paraId="08BA7584">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□学生组 □教师组 □师生联队试点赛项</w:t>
            </w:r>
          </w:p>
        </w:tc>
      </w:tr>
      <w:tr w14:paraId="23269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484" w:type="dxa"/>
            <w:gridSpan w:val="2"/>
            <w:vAlign w:val="center"/>
          </w:tcPr>
          <w:p w14:paraId="2CA32BC2">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题目类型</w:t>
            </w:r>
          </w:p>
        </w:tc>
        <w:tc>
          <w:tcPr>
            <w:tcW w:w="6602" w:type="dxa"/>
            <w:gridSpan w:val="4"/>
            <w:vAlign w:val="center"/>
          </w:tcPr>
          <w:p w14:paraId="05BC83E1">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sym w:font="Wingdings 2" w:char="00A3"/>
            </w:r>
            <w:r>
              <w:rPr>
                <w:rFonts w:hint="eastAsia" w:eastAsia="仿宋"/>
                <w:b/>
                <w:color w:val="000000"/>
                <w:sz w:val="24"/>
                <w:szCs w:val="24"/>
                <w:lang w:val="en-US"/>
              </w:rPr>
              <w:t xml:space="preserve">单选题   </w:t>
            </w:r>
            <w:r>
              <w:rPr>
                <w:rFonts w:hint="eastAsia" w:eastAsia="仿宋"/>
                <w:b/>
                <w:color w:val="000000"/>
                <w:sz w:val="24"/>
                <w:szCs w:val="24"/>
                <w:lang w:val="en-US"/>
              </w:rPr>
              <w:sym w:font="Wingdings 2" w:char="0052"/>
            </w:r>
            <w:r>
              <w:rPr>
                <w:rFonts w:hint="eastAsia" w:eastAsia="仿宋"/>
                <w:b/>
                <w:color w:val="000000"/>
                <w:sz w:val="24"/>
                <w:szCs w:val="24"/>
                <w:lang w:val="en-US"/>
              </w:rPr>
              <w:t xml:space="preserve">多选题  </w:t>
            </w:r>
            <w:r>
              <w:rPr>
                <w:rFonts w:hint="eastAsia" w:eastAsia="仿宋"/>
                <w:b/>
                <w:color w:val="000000"/>
                <w:sz w:val="24"/>
                <w:szCs w:val="24"/>
                <w:lang w:val="en-US"/>
              </w:rPr>
              <w:sym w:font="Wingdings 2" w:char="00A3"/>
            </w:r>
            <w:r>
              <w:rPr>
                <w:rFonts w:hint="eastAsia" w:eastAsia="仿宋"/>
                <w:b/>
                <w:color w:val="000000"/>
                <w:sz w:val="24"/>
                <w:szCs w:val="24"/>
                <w:lang w:val="en-US"/>
              </w:rPr>
              <w:t>是非题</w:t>
            </w:r>
          </w:p>
        </w:tc>
      </w:tr>
      <w:tr w14:paraId="725EE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484" w:type="dxa"/>
            <w:gridSpan w:val="2"/>
            <w:vAlign w:val="center"/>
          </w:tcPr>
          <w:p w14:paraId="3204081A">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题目内容（样例）</w:t>
            </w:r>
          </w:p>
        </w:tc>
        <w:tc>
          <w:tcPr>
            <w:tcW w:w="2710" w:type="dxa"/>
            <w:vAlign w:val="center"/>
          </w:tcPr>
          <w:p w14:paraId="3CF90162">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题目选项</w:t>
            </w:r>
          </w:p>
        </w:tc>
        <w:tc>
          <w:tcPr>
            <w:tcW w:w="1577" w:type="dxa"/>
            <w:gridSpan w:val="2"/>
            <w:vAlign w:val="center"/>
          </w:tcPr>
          <w:p w14:paraId="6DD4F0C8">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题目答案</w:t>
            </w:r>
          </w:p>
        </w:tc>
        <w:tc>
          <w:tcPr>
            <w:tcW w:w="2315" w:type="dxa"/>
            <w:vAlign w:val="center"/>
          </w:tcPr>
          <w:p w14:paraId="5A176AD0">
            <w:pPr>
              <w:pStyle w:val="10"/>
              <w:adjustRightInd w:val="0"/>
              <w:snapToGrid w:val="0"/>
              <w:spacing w:after="0"/>
              <w:ind w:left="0" w:leftChars="0" w:firstLine="0" w:firstLineChars="0"/>
              <w:jc w:val="center"/>
              <w:rPr>
                <w:rFonts w:eastAsia="仿宋"/>
                <w:b/>
                <w:color w:val="000000"/>
                <w:sz w:val="24"/>
                <w:szCs w:val="24"/>
                <w:lang w:val="en-US"/>
              </w:rPr>
            </w:pPr>
            <w:r>
              <w:rPr>
                <w:rFonts w:hint="eastAsia" w:eastAsia="仿宋"/>
                <w:b/>
                <w:color w:val="000000"/>
                <w:sz w:val="24"/>
                <w:szCs w:val="24"/>
                <w:lang w:val="en-US"/>
              </w:rPr>
              <w:t>难度系数</w:t>
            </w:r>
          </w:p>
        </w:tc>
      </w:tr>
      <w:tr w14:paraId="11C42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484" w:type="dxa"/>
            <w:gridSpan w:val="2"/>
            <w:vAlign w:val="center"/>
          </w:tcPr>
          <w:p w14:paraId="0143A2A3">
            <w:pPr>
              <w:spacing w:line="360" w:lineRule="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西葫芦育苗阶段一般不施肥，可叶面喷施（  ）。</w:t>
            </w:r>
            <w:r>
              <w:rPr>
                <w:rFonts w:hint="eastAsia" w:ascii="仿宋_GB2312" w:hAnsi="仿宋_GB2312" w:eastAsia="仿宋_GB2312" w:cs="仿宋_GB2312"/>
                <w:sz w:val="24"/>
                <w:szCs w:val="24"/>
              </w:rPr>
              <w:tab/>
            </w:r>
          </w:p>
          <w:p w14:paraId="1948C757">
            <w:pPr>
              <w:rPr>
                <w:rFonts w:hint="eastAsia" w:ascii="仿宋" w:hAnsi="仿宋" w:cs="仿宋"/>
                <w:bCs/>
                <w:color w:val="000000"/>
                <w:sz w:val="24"/>
                <w:szCs w:val="24"/>
              </w:rPr>
            </w:pPr>
          </w:p>
        </w:tc>
        <w:tc>
          <w:tcPr>
            <w:tcW w:w="2710" w:type="dxa"/>
            <w:vAlign w:val="center"/>
          </w:tcPr>
          <w:p w14:paraId="04EC4DD7">
            <w:pPr>
              <w:spacing w:line="360" w:lineRule="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xml:space="preserve">A.0.3%磷酸二氢钾 </w:t>
            </w:r>
          </w:p>
          <w:p w14:paraId="450E8198">
            <w:pPr>
              <w:spacing w:line="360" w:lineRule="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xml:space="preserve">B.3%磷酸二氢钾    </w:t>
            </w:r>
          </w:p>
          <w:p w14:paraId="6162CC33">
            <w:pPr>
              <w:spacing w:line="360" w:lineRule="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xml:space="preserve">C.0.2%尿素     </w:t>
            </w:r>
          </w:p>
          <w:p w14:paraId="5349B52F">
            <w:pPr>
              <w:spacing w:line="360" w:lineRule="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D.5%尿素</w:t>
            </w:r>
          </w:p>
          <w:p w14:paraId="0FEE776C">
            <w:pPr>
              <w:pStyle w:val="10"/>
              <w:spacing w:after="0"/>
              <w:ind w:left="0" w:leftChars="0" w:firstLine="0" w:firstLineChars="0"/>
              <w:rPr>
                <w:rFonts w:hint="eastAsia" w:eastAsia="仿宋"/>
                <w:bCs/>
                <w:color w:val="000000"/>
                <w:sz w:val="24"/>
                <w:szCs w:val="24"/>
                <w:lang w:val="en-US"/>
              </w:rPr>
            </w:pPr>
          </w:p>
        </w:tc>
        <w:tc>
          <w:tcPr>
            <w:tcW w:w="1577" w:type="dxa"/>
            <w:gridSpan w:val="2"/>
            <w:vAlign w:val="center"/>
          </w:tcPr>
          <w:p w14:paraId="5F54A355">
            <w:pPr>
              <w:pStyle w:val="10"/>
              <w:adjustRightInd w:val="0"/>
              <w:snapToGrid w:val="0"/>
              <w:spacing w:after="0"/>
              <w:ind w:left="0" w:leftChars="0" w:firstLine="0" w:firstLineChars="0"/>
              <w:jc w:val="center"/>
              <w:rPr>
                <w:rFonts w:hint="eastAsia" w:eastAsia="仿宋"/>
                <w:color w:val="000000"/>
                <w:sz w:val="24"/>
                <w:szCs w:val="24"/>
                <w:lang w:val="en-US"/>
              </w:rPr>
            </w:pPr>
            <w:r>
              <w:rPr>
                <w:rFonts w:hint="eastAsia" w:eastAsia="仿宋"/>
                <w:color w:val="000000"/>
                <w:sz w:val="24"/>
                <w:szCs w:val="24"/>
                <w:lang w:val="en-US"/>
              </w:rPr>
              <w:t>AC</w:t>
            </w:r>
          </w:p>
        </w:tc>
        <w:tc>
          <w:tcPr>
            <w:tcW w:w="2315" w:type="dxa"/>
            <w:vAlign w:val="center"/>
          </w:tcPr>
          <w:p w14:paraId="6830AAE4">
            <w:pPr>
              <w:pStyle w:val="10"/>
              <w:adjustRightInd w:val="0"/>
              <w:snapToGrid w:val="0"/>
              <w:spacing w:after="0"/>
              <w:ind w:left="0" w:leftChars="0" w:firstLine="0" w:firstLineChars="0"/>
              <w:jc w:val="center"/>
              <w:rPr>
                <w:rFonts w:eastAsia="仿宋"/>
                <w:color w:val="000000"/>
                <w:sz w:val="24"/>
                <w:szCs w:val="24"/>
                <w:lang w:val="en-US"/>
              </w:rPr>
            </w:pPr>
            <w:r>
              <w:rPr>
                <w:rFonts w:hint="eastAsia" w:eastAsia="仿宋"/>
                <w:color w:val="000000"/>
                <w:sz w:val="24"/>
                <w:szCs w:val="24"/>
                <w:lang w:val="en-US"/>
              </w:rPr>
              <w:t>0.65</w:t>
            </w:r>
          </w:p>
        </w:tc>
      </w:tr>
    </w:tbl>
    <w:p w14:paraId="20B28471">
      <w:pPr>
        <w:jc w:val="center"/>
        <w:rPr>
          <w:rFonts w:hint="eastAsia" w:ascii="仿宋" w:hAnsi="仿宋" w:eastAsia="仿宋" w:cs="仿宋"/>
          <w:b/>
          <w:color w:val="000000"/>
          <w:sz w:val="24"/>
          <w:szCs w:val="24"/>
          <w:lang w:bidi="zh-CN"/>
        </w:rPr>
      </w:pPr>
    </w:p>
    <w:p w14:paraId="6ADFF332">
      <w:pPr>
        <w:jc w:val="center"/>
        <w:rPr>
          <w:rFonts w:hint="eastAsia" w:ascii="仿宋" w:hAnsi="仿宋" w:eastAsia="仿宋" w:cs="仿宋"/>
          <w:b/>
          <w:color w:val="000000"/>
          <w:sz w:val="24"/>
          <w:szCs w:val="24"/>
          <w:lang w:bidi="zh-CN"/>
        </w:rPr>
      </w:pPr>
      <w:r>
        <w:rPr>
          <w:rFonts w:hint="eastAsia" w:ascii="仿宋" w:hAnsi="仿宋" w:eastAsia="仿宋" w:cs="仿宋"/>
          <w:b/>
          <w:color w:val="000000"/>
          <w:sz w:val="24"/>
          <w:szCs w:val="24"/>
          <w:lang w:bidi="zh-CN"/>
        </w:rPr>
        <w:br w:type="page"/>
      </w:r>
      <w:r>
        <w:rPr>
          <w:rFonts w:hint="eastAsia" w:ascii="仿宋" w:hAnsi="仿宋" w:eastAsia="仿宋" w:cs="仿宋"/>
          <w:b/>
          <w:color w:val="000000"/>
          <w:sz w:val="24"/>
          <w:szCs w:val="24"/>
          <w:lang w:bidi="zh-CN"/>
        </w:rPr>
        <w:t>表3 是非题</w:t>
      </w:r>
    </w:p>
    <w:tbl>
      <w:tblPr>
        <w:tblStyle w:val="11"/>
        <w:tblW w:w="128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66"/>
        <w:gridCol w:w="3131"/>
        <w:gridCol w:w="3065"/>
        <w:gridCol w:w="535"/>
        <w:gridCol w:w="2832"/>
      </w:tblGrid>
      <w:tr w14:paraId="0BDBB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66" w:type="dxa"/>
            <w:vAlign w:val="center"/>
          </w:tcPr>
          <w:p w14:paraId="0FC0A4DE">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赛项名称</w:t>
            </w:r>
          </w:p>
        </w:tc>
        <w:tc>
          <w:tcPr>
            <w:tcW w:w="3131" w:type="dxa"/>
            <w:vAlign w:val="center"/>
          </w:tcPr>
          <w:p w14:paraId="0CC62D12">
            <w:pPr>
              <w:pStyle w:val="10"/>
              <w:adjustRightInd w:val="0"/>
              <w:snapToGrid w:val="0"/>
              <w:spacing w:after="0"/>
              <w:ind w:left="0" w:leftChars="0" w:firstLine="0" w:firstLineChars="0"/>
              <w:jc w:val="center"/>
              <w:rPr>
                <w:rFonts w:eastAsia="仿宋"/>
                <w:bCs/>
                <w:color w:val="000000"/>
                <w:sz w:val="24"/>
                <w:szCs w:val="24"/>
                <w:lang w:val="en-US"/>
              </w:rPr>
            </w:pPr>
            <w:r>
              <w:rPr>
                <w:rFonts w:hint="eastAsia" w:eastAsia="仿宋"/>
                <w:bCs/>
                <w:color w:val="000000"/>
                <w:sz w:val="24"/>
                <w:szCs w:val="24"/>
                <w:lang w:val="en-US"/>
              </w:rPr>
              <w:t>植物嫁接</w:t>
            </w:r>
          </w:p>
        </w:tc>
        <w:tc>
          <w:tcPr>
            <w:tcW w:w="3065" w:type="dxa"/>
            <w:vAlign w:val="center"/>
          </w:tcPr>
          <w:p w14:paraId="22AA6D9B">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英语名称</w:t>
            </w:r>
          </w:p>
        </w:tc>
        <w:tc>
          <w:tcPr>
            <w:tcW w:w="3367" w:type="dxa"/>
            <w:gridSpan w:val="2"/>
            <w:vAlign w:val="center"/>
          </w:tcPr>
          <w:p w14:paraId="31D14A9D">
            <w:pPr>
              <w:pStyle w:val="10"/>
              <w:adjustRightInd w:val="0"/>
              <w:snapToGrid w:val="0"/>
              <w:spacing w:after="0"/>
              <w:ind w:left="0" w:leftChars="0" w:firstLine="0" w:firstLineChars="0"/>
              <w:jc w:val="center"/>
              <w:rPr>
                <w:rFonts w:hint="eastAsia" w:eastAsia="仿宋"/>
                <w:bCs/>
                <w:color w:val="000000"/>
                <w:sz w:val="24"/>
                <w:szCs w:val="24"/>
                <w:lang w:val="en-US"/>
              </w:rPr>
            </w:pPr>
            <w:r>
              <w:rPr>
                <w:rFonts w:hint="eastAsia" w:eastAsia="仿宋"/>
                <w:b/>
                <w:color w:val="000000"/>
                <w:sz w:val="24"/>
                <w:szCs w:val="24"/>
                <w:lang w:val="en-US"/>
              </w:rPr>
              <w:t xml:space="preserve">Plant Grafting </w:t>
            </w:r>
          </w:p>
        </w:tc>
      </w:tr>
      <w:tr w14:paraId="62522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266" w:type="dxa"/>
            <w:vAlign w:val="center"/>
          </w:tcPr>
          <w:p w14:paraId="5AEA8CDD">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赛项编号</w:t>
            </w:r>
          </w:p>
        </w:tc>
        <w:tc>
          <w:tcPr>
            <w:tcW w:w="3131" w:type="dxa"/>
            <w:vAlign w:val="center"/>
          </w:tcPr>
          <w:p w14:paraId="44DB87F0">
            <w:pPr>
              <w:pStyle w:val="10"/>
              <w:adjustRightInd w:val="0"/>
              <w:snapToGrid w:val="0"/>
              <w:spacing w:after="0"/>
              <w:ind w:left="0" w:leftChars="0" w:firstLine="0" w:firstLineChars="0"/>
              <w:jc w:val="center"/>
              <w:rPr>
                <w:rFonts w:eastAsia="仿宋"/>
                <w:b/>
                <w:color w:val="000000"/>
                <w:sz w:val="24"/>
                <w:szCs w:val="24"/>
                <w:lang w:val="en-US"/>
              </w:rPr>
            </w:pPr>
            <w:r>
              <w:rPr>
                <w:rFonts w:hint="eastAsia" w:eastAsia="仿宋"/>
                <w:b/>
                <w:color w:val="000000"/>
                <w:sz w:val="24"/>
                <w:szCs w:val="24"/>
                <w:lang w:val="en-US"/>
              </w:rPr>
              <w:t>ZZ002</w:t>
            </w:r>
          </w:p>
        </w:tc>
        <w:tc>
          <w:tcPr>
            <w:tcW w:w="3065" w:type="dxa"/>
            <w:vAlign w:val="center"/>
          </w:tcPr>
          <w:p w14:paraId="67B041A5">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归属产业</w:t>
            </w:r>
          </w:p>
        </w:tc>
        <w:tc>
          <w:tcPr>
            <w:tcW w:w="3367" w:type="dxa"/>
            <w:gridSpan w:val="2"/>
            <w:vAlign w:val="center"/>
          </w:tcPr>
          <w:p w14:paraId="18B8F088">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乡村振兴与绿色发展</w:t>
            </w:r>
          </w:p>
        </w:tc>
      </w:tr>
      <w:tr w14:paraId="4484F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829" w:type="dxa"/>
            <w:gridSpan w:val="5"/>
            <w:vAlign w:val="center"/>
          </w:tcPr>
          <w:p w14:paraId="51F5CAA4">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赛项组别</w:t>
            </w:r>
          </w:p>
        </w:tc>
      </w:tr>
      <w:tr w14:paraId="0F476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397" w:type="dxa"/>
            <w:gridSpan w:val="2"/>
            <w:vAlign w:val="center"/>
          </w:tcPr>
          <w:p w14:paraId="0669034F">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中职组</w:t>
            </w:r>
          </w:p>
        </w:tc>
        <w:tc>
          <w:tcPr>
            <w:tcW w:w="6432" w:type="dxa"/>
            <w:gridSpan w:val="3"/>
            <w:vAlign w:val="center"/>
          </w:tcPr>
          <w:p w14:paraId="7B885984">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高职组</w:t>
            </w:r>
          </w:p>
        </w:tc>
      </w:tr>
      <w:tr w14:paraId="799E7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397" w:type="dxa"/>
            <w:gridSpan w:val="2"/>
            <w:vAlign w:val="center"/>
          </w:tcPr>
          <w:p w14:paraId="065CBBB0">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sym w:font="Wingdings 2" w:char="0052"/>
            </w:r>
            <w:r>
              <w:rPr>
                <w:rFonts w:hint="eastAsia" w:eastAsia="仿宋"/>
                <w:b/>
                <w:color w:val="000000"/>
                <w:sz w:val="24"/>
                <w:szCs w:val="24"/>
                <w:lang w:val="en-US"/>
              </w:rPr>
              <w:t xml:space="preserve">学生组 </w:t>
            </w:r>
            <w:r>
              <w:rPr>
                <w:rFonts w:hint="eastAsia" w:eastAsia="仿宋"/>
                <w:b/>
                <w:color w:val="000000"/>
                <w:sz w:val="24"/>
                <w:szCs w:val="24"/>
                <w:lang w:val="en-US"/>
              </w:rPr>
              <w:sym w:font="Wingdings 2" w:char="00A3"/>
            </w:r>
            <w:r>
              <w:rPr>
                <w:rFonts w:hint="eastAsia" w:eastAsia="仿宋"/>
                <w:b/>
                <w:color w:val="000000"/>
                <w:sz w:val="24"/>
                <w:szCs w:val="24"/>
                <w:lang w:val="en-US"/>
              </w:rPr>
              <w:t>教师组 □师生联队试点赛项</w:t>
            </w:r>
          </w:p>
        </w:tc>
        <w:tc>
          <w:tcPr>
            <w:tcW w:w="6432" w:type="dxa"/>
            <w:gridSpan w:val="3"/>
            <w:vAlign w:val="center"/>
          </w:tcPr>
          <w:p w14:paraId="396A800C">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□学生组 □教师组 □师生联队试点赛项</w:t>
            </w:r>
          </w:p>
        </w:tc>
      </w:tr>
      <w:tr w14:paraId="74385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397" w:type="dxa"/>
            <w:gridSpan w:val="2"/>
            <w:vAlign w:val="center"/>
          </w:tcPr>
          <w:p w14:paraId="6AB1262B">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题目类型</w:t>
            </w:r>
          </w:p>
        </w:tc>
        <w:tc>
          <w:tcPr>
            <w:tcW w:w="6432" w:type="dxa"/>
            <w:gridSpan w:val="3"/>
            <w:vAlign w:val="center"/>
          </w:tcPr>
          <w:p w14:paraId="667B4831">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sym w:font="Wingdings 2" w:char="00A3"/>
            </w:r>
            <w:r>
              <w:rPr>
                <w:rFonts w:hint="eastAsia" w:eastAsia="仿宋"/>
                <w:b/>
                <w:color w:val="000000"/>
                <w:sz w:val="24"/>
                <w:szCs w:val="24"/>
                <w:lang w:val="en-US"/>
              </w:rPr>
              <w:t xml:space="preserve">单选题   </w:t>
            </w:r>
            <w:r>
              <w:rPr>
                <w:rFonts w:hint="eastAsia" w:eastAsia="仿宋"/>
                <w:b/>
                <w:color w:val="000000"/>
                <w:sz w:val="24"/>
                <w:szCs w:val="24"/>
                <w:lang w:val="en-US"/>
              </w:rPr>
              <w:sym w:font="Wingdings 2" w:char="00A3"/>
            </w:r>
            <w:r>
              <w:rPr>
                <w:rFonts w:hint="eastAsia" w:eastAsia="仿宋"/>
                <w:b/>
                <w:color w:val="000000"/>
                <w:sz w:val="24"/>
                <w:szCs w:val="24"/>
                <w:lang w:val="en-US"/>
              </w:rPr>
              <w:t xml:space="preserve">多选题  </w:t>
            </w:r>
            <w:r>
              <w:rPr>
                <w:rFonts w:hint="eastAsia" w:eastAsia="仿宋"/>
                <w:b/>
                <w:color w:val="000000"/>
                <w:sz w:val="24"/>
                <w:szCs w:val="24"/>
                <w:lang w:val="en-US"/>
              </w:rPr>
              <w:sym w:font="Wingdings 2" w:char="0052"/>
            </w:r>
            <w:r>
              <w:rPr>
                <w:rFonts w:hint="eastAsia" w:eastAsia="仿宋"/>
                <w:b/>
                <w:color w:val="000000"/>
                <w:sz w:val="24"/>
                <w:szCs w:val="24"/>
                <w:lang w:val="en-US"/>
              </w:rPr>
              <w:t>是非题</w:t>
            </w:r>
          </w:p>
        </w:tc>
      </w:tr>
      <w:tr w14:paraId="19C30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6397" w:type="dxa"/>
            <w:gridSpan w:val="2"/>
            <w:vAlign w:val="center"/>
          </w:tcPr>
          <w:p w14:paraId="681D6F06">
            <w:pPr>
              <w:pStyle w:val="10"/>
              <w:adjustRightInd w:val="0"/>
              <w:snapToGrid w:val="0"/>
              <w:spacing w:after="0"/>
              <w:ind w:left="0" w:leftChars="0" w:firstLine="0" w:firstLineChars="0"/>
              <w:jc w:val="center"/>
              <w:rPr>
                <w:rFonts w:hint="eastAsia" w:eastAsia="仿宋"/>
                <w:bCs/>
                <w:color w:val="000000"/>
                <w:sz w:val="24"/>
                <w:szCs w:val="24"/>
                <w:lang w:val="en-US"/>
              </w:rPr>
            </w:pPr>
            <w:r>
              <w:rPr>
                <w:rFonts w:hint="eastAsia" w:eastAsia="仿宋"/>
                <w:b/>
                <w:color w:val="000000"/>
                <w:sz w:val="24"/>
                <w:szCs w:val="24"/>
                <w:lang w:val="en-US"/>
              </w:rPr>
              <w:t>题目内容（样例）</w:t>
            </w:r>
          </w:p>
        </w:tc>
        <w:tc>
          <w:tcPr>
            <w:tcW w:w="3600" w:type="dxa"/>
            <w:gridSpan w:val="2"/>
            <w:vAlign w:val="center"/>
          </w:tcPr>
          <w:p w14:paraId="64E42238">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题目答案</w:t>
            </w:r>
          </w:p>
        </w:tc>
        <w:tc>
          <w:tcPr>
            <w:tcW w:w="2832" w:type="dxa"/>
            <w:vAlign w:val="center"/>
          </w:tcPr>
          <w:p w14:paraId="7D504989">
            <w:pPr>
              <w:pStyle w:val="10"/>
              <w:adjustRightInd w:val="0"/>
              <w:snapToGrid w:val="0"/>
              <w:spacing w:after="0"/>
              <w:ind w:left="0" w:leftChars="0" w:firstLine="0" w:firstLineChars="0"/>
              <w:jc w:val="center"/>
              <w:rPr>
                <w:rFonts w:eastAsia="仿宋"/>
                <w:b/>
                <w:color w:val="000000"/>
                <w:sz w:val="24"/>
                <w:szCs w:val="24"/>
                <w:lang w:val="en-US"/>
              </w:rPr>
            </w:pPr>
            <w:r>
              <w:rPr>
                <w:rFonts w:hint="eastAsia" w:eastAsia="仿宋"/>
                <w:b/>
                <w:color w:val="000000"/>
                <w:sz w:val="24"/>
                <w:szCs w:val="24"/>
                <w:lang w:val="en-US"/>
              </w:rPr>
              <w:t>难度系数</w:t>
            </w:r>
          </w:p>
        </w:tc>
      </w:tr>
      <w:tr w14:paraId="44353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397" w:type="dxa"/>
            <w:gridSpan w:val="2"/>
            <w:vAlign w:val="center"/>
          </w:tcPr>
          <w:p w14:paraId="0BE3448A">
            <w:pPr>
              <w:pStyle w:val="10"/>
              <w:adjustRightInd w:val="0"/>
              <w:snapToGrid w:val="0"/>
              <w:spacing w:after="0"/>
              <w:ind w:left="0" w:leftChars="0" w:firstLine="0" w:firstLineChars="0"/>
              <w:rPr>
                <w:rFonts w:hint="eastAsia" w:eastAsia="仿宋"/>
                <w:bCs/>
                <w:color w:val="000000"/>
                <w:sz w:val="24"/>
                <w:szCs w:val="24"/>
                <w:lang w:val="en-US"/>
              </w:rPr>
            </w:pPr>
            <w:r>
              <w:rPr>
                <w:rFonts w:hint="eastAsia" w:eastAsia="仿宋"/>
                <w:bCs/>
                <w:color w:val="000000"/>
                <w:sz w:val="24"/>
                <w:szCs w:val="24"/>
                <w:lang w:val="en-US"/>
              </w:rPr>
              <w:t>（  ）嫁接苗可以用乙烯利处理降低坐瓜节位，增加坐瓜数。</w:t>
            </w:r>
          </w:p>
        </w:tc>
        <w:tc>
          <w:tcPr>
            <w:tcW w:w="3600" w:type="dxa"/>
            <w:gridSpan w:val="2"/>
            <w:vAlign w:val="center"/>
          </w:tcPr>
          <w:p w14:paraId="4866FC8C">
            <w:pPr>
              <w:pStyle w:val="10"/>
              <w:adjustRightInd w:val="0"/>
              <w:snapToGrid w:val="0"/>
              <w:spacing w:after="0"/>
              <w:ind w:left="0" w:leftChars="0" w:firstLine="0" w:firstLineChars="0"/>
              <w:jc w:val="center"/>
              <w:rPr>
                <w:rFonts w:eastAsia="仿宋"/>
                <w:color w:val="000000"/>
                <w:sz w:val="24"/>
                <w:szCs w:val="24"/>
                <w:lang w:val="en-US"/>
              </w:rPr>
            </w:pPr>
            <w:r>
              <w:rPr>
                <w:rFonts w:hint="eastAsia" w:eastAsia="仿宋"/>
                <w:color w:val="000000"/>
                <w:sz w:val="24"/>
                <w:szCs w:val="24"/>
                <w:lang w:val="en-US"/>
              </w:rPr>
              <w:sym w:font="Wingdings 2" w:char="0052"/>
            </w:r>
            <w:r>
              <w:rPr>
                <w:rFonts w:hint="eastAsia" w:eastAsia="仿宋"/>
                <w:color w:val="000000"/>
                <w:sz w:val="24"/>
                <w:szCs w:val="24"/>
                <w:lang w:val="en-US"/>
              </w:rPr>
              <w:t xml:space="preserve">正确 </w:t>
            </w:r>
            <w:r>
              <w:rPr>
                <w:rFonts w:hint="eastAsia" w:eastAsia="仿宋"/>
                <w:color w:val="000000"/>
                <w:sz w:val="24"/>
                <w:szCs w:val="24"/>
                <w:lang w:val="en-US"/>
              </w:rPr>
              <w:sym w:font="Wingdings 2" w:char="00A3"/>
            </w:r>
            <w:r>
              <w:rPr>
                <w:rFonts w:hint="eastAsia" w:eastAsia="仿宋"/>
                <w:color w:val="000000"/>
                <w:sz w:val="24"/>
                <w:szCs w:val="24"/>
                <w:lang w:val="en-US"/>
              </w:rPr>
              <w:t>错误</w:t>
            </w:r>
          </w:p>
        </w:tc>
        <w:tc>
          <w:tcPr>
            <w:tcW w:w="2832" w:type="dxa"/>
            <w:vAlign w:val="center"/>
          </w:tcPr>
          <w:p w14:paraId="356C8A7B">
            <w:pPr>
              <w:pStyle w:val="10"/>
              <w:adjustRightInd w:val="0"/>
              <w:snapToGrid w:val="0"/>
              <w:spacing w:after="0"/>
              <w:ind w:left="0" w:leftChars="0" w:firstLine="0" w:firstLineChars="0"/>
              <w:jc w:val="center"/>
              <w:rPr>
                <w:rFonts w:eastAsia="仿宋"/>
                <w:color w:val="000000"/>
                <w:sz w:val="24"/>
                <w:szCs w:val="24"/>
                <w:lang w:val="en-US"/>
              </w:rPr>
            </w:pPr>
            <w:r>
              <w:rPr>
                <w:rFonts w:hint="eastAsia" w:eastAsia="仿宋"/>
                <w:color w:val="000000"/>
                <w:sz w:val="24"/>
                <w:szCs w:val="24"/>
                <w:lang w:val="en-US"/>
              </w:rPr>
              <w:t>0.55</w:t>
            </w:r>
          </w:p>
        </w:tc>
      </w:tr>
    </w:tbl>
    <w:p w14:paraId="4A8254D6">
      <w:pPr>
        <w:spacing w:line="600" w:lineRule="exact"/>
        <w:ind w:right="-27" w:rightChars="-13" w:firstLine="640" w:firstLineChars="200"/>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br w:type="page"/>
      </w:r>
      <w:r>
        <w:rPr>
          <w:rFonts w:hint="eastAsia" w:ascii="仿宋_GB2312" w:hAnsi="Times New Roman" w:eastAsia="仿宋_GB2312" w:cs="Times New Roman"/>
          <w:sz w:val="32"/>
          <w:szCs w:val="32"/>
        </w:rPr>
        <w:t>类型二</w:t>
      </w:r>
    </w:p>
    <w:p w14:paraId="39AFDD03">
      <w:pPr>
        <w:spacing w:line="600" w:lineRule="exact"/>
        <w:ind w:right="-27" w:rightChars="-13" w:firstLine="640" w:firstLineChars="200"/>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t>考查学生综合运用基本概念、理论、技能的能力，综合应用能力、创新精神和职业能力等内容。</w:t>
      </w:r>
    </w:p>
    <w:p w14:paraId="2A1F61D0">
      <w:pPr>
        <w:jc w:val="center"/>
        <w:rPr>
          <w:rFonts w:hint="eastAsia" w:ascii="仿宋" w:hAnsi="仿宋" w:eastAsia="仿宋" w:cs="仿宋"/>
          <w:b/>
          <w:color w:val="000000"/>
          <w:sz w:val="24"/>
          <w:szCs w:val="24"/>
          <w:lang w:bidi="zh-CN"/>
        </w:rPr>
      </w:pPr>
      <w:r>
        <w:rPr>
          <w:rFonts w:hint="eastAsia" w:ascii="仿宋" w:hAnsi="仿宋" w:eastAsia="仿宋" w:cs="仿宋"/>
          <w:b/>
          <w:color w:val="000000"/>
          <w:sz w:val="24"/>
          <w:szCs w:val="24"/>
          <w:lang w:bidi="zh-CN"/>
        </w:rPr>
        <w:t>表4赛项技能模块汇总</w:t>
      </w:r>
    </w:p>
    <w:tbl>
      <w:tblPr>
        <w:tblStyle w:val="11"/>
        <w:tblW w:w="134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1285"/>
        <w:gridCol w:w="1221"/>
        <w:gridCol w:w="71"/>
        <w:gridCol w:w="1700"/>
        <w:gridCol w:w="1139"/>
        <w:gridCol w:w="1515"/>
        <w:gridCol w:w="1680"/>
        <w:gridCol w:w="1239"/>
        <w:gridCol w:w="1280"/>
        <w:gridCol w:w="1058"/>
      </w:tblGrid>
      <w:tr w14:paraId="177DF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8" w:type="dxa"/>
            <w:gridSpan w:val="3"/>
            <w:vAlign w:val="center"/>
          </w:tcPr>
          <w:p w14:paraId="61533A5F">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赛项名称</w:t>
            </w:r>
          </w:p>
        </w:tc>
        <w:tc>
          <w:tcPr>
            <w:tcW w:w="2910" w:type="dxa"/>
            <w:gridSpan w:val="3"/>
            <w:vAlign w:val="center"/>
          </w:tcPr>
          <w:p w14:paraId="6B5ADB1C">
            <w:pPr>
              <w:pStyle w:val="10"/>
              <w:adjustRightInd w:val="0"/>
              <w:snapToGrid w:val="0"/>
              <w:spacing w:after="0"/>
              <w:ind w:left="0" w:leftChars="0" w:firstLine="0" w:firstLineChars="0"/>
              <w:jc w:val="center"/>
              <w:rPr>
                <w:rFonts w:ascii="仿宋_GB2312" w:eastAsia="仿宋_GB2312" w:cs="仿宋_GB2312"/>
                <w:bCs/>
                <w:color w:val="000000"/>
                <w:sz w:val="24"/>
                <w:szCs w:val="24"/>
                <w:lang w:val="en-US"/>
              </w:rPr>
            </w:pPr>
            <w:r>
              <w:rPr>
                <w:rFonts w:hint="eastAsia" w:ascii="仿宋_GB2312" w:eastAsia="仿宋_GB2312" w:cs="仿宋_GB2312"/>
                <w:bCs/>
                <w:color w:val="000000"/>
                <w:sz w:val="24"/>
                <w:szCs w:val="24"/>
                <w:lang w:val="en-US"/>
              </w:rPr>
              <w:t>植物嫁接</w:t>
            </w:r>
          </w:p>
        </w:tc>
        <w:tc>
          <w:tcPr>
            <w:tcW w:w="3195" w:type="dxa"/>
            <w:gridSpan w:val="2"/>
            <w:vAlign w:val="center"/>
          </w:tcPr>
          <w:p w14:paraId="2C9A0DE1">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英语名称</w:t>
            </w:r>
          </w:p>
        </w:tc>
        <w:tc>
          <w:tcPr>
            <w:tcW w:w="3577" w:type="dxa"/>
            <w:gridSpan w:val="3"/>
            <w:vAlign w:val="center"/>
          </w:tcPr>
          <w:p w14:paraId="5F1BA8FB">
            <w:pPr>
              <w:pStyle w:val="10"/>
              <w:adjustRightInd w:val="0"/>
              <w:snapToGrid w:val="0"/>
              <w:spacing w:after="0"/>
              <w:ind w:left="0" w:leftChars="0" w:firstLine="0" w:firstLineChars="0"/>
              <w:jc w:val="center"/>
              <w:rPr>
                <w:rFonts w:eastAsia="仿宋"/>
                <w:b/>
                <w:color w:val="000000"/>
                <w:sz w:val="24"/>
                <w:szCs w:val="24"/>
                <w:lang w:val="en-US"/>
              </w:rPr>
            </w:pPr>
            <w:r>
              <w:rPr>
                <w:rFonts w:hint="eastAsia" w:eastAsia="仿宋"/>
                <w:b/>
                <w:color w:val="000000"/>
                <w:sz w:val="24"/>
                <w:szCs w:val="24"/>
                <w:lang w:val="en-US"/>
              </w:rPr>
              <w:t xml:space="preserve">Plant Grafting </w:t>
            </w:r>
          </w:p>
        </w:tc>
      </w:tr>
      <w:tr w14:paraId="61580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8" w:type="dxa"/>
            <w:gridSpan w:val="3"/>
            <w:vAlign w:val="center"/>
          </w:tcPr>
          <w:p w14:paraId="6288C9E4">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赛项编号</w:t>
            </w:r>
          </w:p>
        </w:tc>
        <w:tc>
          <w:tcPr>
            <w:tcW w:w="2910" w:type="dxa"/>
            <w:gridSpan w:val="3"/>
            <w:vAlign w:val="center"/>
          </w:tcPr>
          <w:p w14:paraId="6569BEE0">
            <w:pPr>
              <w:pStyle w:val="10"/>
              <w:adjustRightInd w:val="0"/>
              <w:snapToGrid w:val="0"/>
              <w:spacing w:after="0"/>
              <w:ind w:left="0" w:leftChars="0" w:firstLine="0" w:firstLineChars="0"/>
              <w:jc w:val="center"/>
              <w:rPr>
                <w:rFonts w:ascii="仿宋_GB2312" w:eastAsia="仿宋_GB2312" w:cs="仿宋_GB2312"/>
                <w:bCs/>
                <w:color w:val="000000"/>
                <w:sz w:val="24"/>
                <w:szCs w:val="24"/>
                <w:lang w:val="en-US"/>
              </w:rPr>
            </w:pPr>
            <w:r>
              <w:rPr>
                <w:rFonts w:hint="eastAsia" w:ascii="仿宋_GB2312" w:eastAsia="仿宋_GB2312" w:cs="仿宋_GB2312"/>
                <w:bCs/>
                <w:color w:val="000000"/>
                <w:sz w:val="24"/>
                <w:szCs w:val="24"/>
                <w:lang w:val="en-US"/>
              </w:rPr>
              <w:t>ZZ002</w:t>
            </w:r>
          </w:p>
        </w:tc>
        <w:tc>
          <w:tcPr>
            <w:tcW w:w="3195" w:type="dxa"/>
            <w:gridSpan w:val="2"/>
            <w:vAlign w:val="center"/>
          </w:tcPr>
          <w:p w14:paraId="30268D4D">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归属产业</w:t>
            </w:r>
          </w:p>
        </w:tc>
        <w:tc>
          <w:tcPr>
            <w:tcW w:w="3577" w:type="dxa"/>
            <w:gridSpan w:val="3"/>
            <w:vAlign w:val="center"/>
          </w:tcPr>
          <w:p w14:paraId="33CAF4E6">
            <w:pPr>
              <w:pStyle w:val="10"/>
              <w:adjustRightInd w:val="0"/>
              <w:snapToGrid w:val="0"/>
              <w:spacing w:after="0"/>
              <w:ind w:left="0" w:leftChars="0" w:firstLine="0" w:firstLineChars="0"/>
              <w:jc w:val="center"/>
              <w:rPr>
                <w:rFonts w:eastAsia="仿宋"/>
                <w:b/>
                <w:color w:val="000000"/>
                <w:sz w:val="24"/>
                <w:szCs w:val="24"/>
                <w:lang w:val="en-US"/>
              </w:rPr>
            </w:pPr>
            <w:r>
              <w:rPr>
                <w:rFonts w:hint="eastAsia" w:eastAsia="仿宋"/>
                <w:b/>
                <w:color w:val="000000"/>
                <w:sz w:val="24"/>
                <w:szCs w:val="24"/>
                <w:lang w:val="en-US"/>
              </w:rPr>
              <w:t>乡村振兴与绿色发展</w:t>
            </w:r>
          </w:p>
        </w:tc>
      </w:tr>
      <w:tr w14:paraId="07759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430" w:type="dxa"/>
            <w:gridSpan w:val="11"/>
            <w:vAlign w:val="center"/>
          </w:tcPr>
          <w:p w14:paraId="07F08324">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赛项组别</w:t>
            </w:r>
          </w:p>
        </w:tc>
      </w:tr>
      <w:tr w14:paraId="3CE94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58" w:type="dxa"/>
            <w:gridSpan w:val="6"/>
            <w:vAlign w:val="center"/>
          </w:tcPr>
          <w:p w14:paraId="7258CD06">
            <w:pPr>
              <w:pStyle w:val="10"/>
              <w:adjustRightInd w:val="0"/>
              <w:snapToGrid w:val="0"/>
              <w:spacing w:after="0"/>
              <w:ind w:left="0" w:leftChars="0" w:firstLine="0" w:firstLineChars="0"/>
              <w:jc w:val="center"/>
              <w:rPr>
                <w:rFonts w:hint="eastAsia" w:ascii="仿宋_GB2312" w:eastAsia="仿宋_GB2312" w:cs="仿宋_GB2312"/>
                <w:bCs/>
                <w:color w:val="000000"/>
                <w:sz w:val="24"/>
                <w:szCs w:val="24"/>
                <w:lang w:val="en-US"/>
              </w:rPr>
            </w:pPr>
            <w:r>
              <w:rPr>
                <w:rFonts w:hint="eastAsia" w:eastAsia="仿宋"/>
                <w:b/>
                <w:color w:val="000000"/>
                <w:sz w:val="24"/>
                <w:szCs w:val="24"/>
                <w:lang w:val="en-US"/>
              </w:rPr>
              <w:t>中职组</w:t>
            </w:r>
          </w:p>
        </w:tc>
        <w:tc>
          <w:tcPr>
            <w:tcW w:w="6772" w:type="dxa"/>
            <w:gridSpan w:val="5"/>
            <w:vAlign w:val="center"/>
          </w:tcPr>
          <w:p w14:paraId="388DEC51">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高职组</w:t>
            </w:r>
          </w:p>
        </w:tc>
      </w:tr>
      <w:tr w14:paraId="369B9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58" w:type="dxa"/>
            <w:gridSpan w:val="6"/>
            <w:vAlign w:val="center"/>
          </w:tcPr>
          <w:p w14:paraId="5E775990">
            <w:pPr>
              <w:pStyle w:val="10"/>
              <w:adjustRightInd w:val="0"/>
              <w:snapToGrid w:val="0"/>
              <w:spacing w:after="0"/>
              <w:ind w:left="0" w:leftChars="0" w:firstLine="0" w:firstLineChars="0"/>
              <w:jc w:val="center"/>
              <w:rPr>
                <w:rFonts w:hint="eastAsia" w:ascii="仿宋_GB2312" w:eastAsia="仿宋_GB2312" w:cs="仿宋_GB2312"/>
                <w:bCs/>
                <w:color w:val="000000"/>
                <w:sz w:val="24"/>
                <w:szCs w:val="24"/>
                <w:lang w:val="en-US"/>
              </w:rPr>
            </w:pPr>
            <w:r>
              <w:rPr>
                <w:rFonts w:hint="eastAsia" w:eastAsia="仿宋"/>
                <w:b/>
                <w:color w:val="000000"/>
                <w:sz w:val="24"/>
                <w:szCs w:val="24"/>
                <w:lang w:val="en-US"/>
              </w:rPr>
              <w:sym w:font="Wingdings 2" w:char="0052"/>
            </w:r>
            <w:r>
              <w:rPr>
                <w:rFonts w:hint="eastAsia" w:eastAsia="仿宋"/>
                <w:b/>
                <w:color w:val="000000"/>
                <w:sz w:val="24"/>
                <w:szCs w:val="24"/>
                <w:lang w:val="en-US"/>
              </w:rPr>
              <w:t>学生组 □教师组 □师生联队试点赛项</w:t>
            </w:r>
          </w:p>
        </w:tc>
        <w:tc>
          <w:tcPr>
            <w:tcW w:w="6772" w:type="dxa"/>
            <w:gridSpan w:val="5"/>
            <w:vAlign w:val="center"/>
          </w:tcPr>
          <w:p w14:paraId="7C864475">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□学生组 □教师组 □师生联队试点赛项</w:t>
            </w:r>
          </w:p>
        </w:tc>
      </w:tr>
      <w:tr w14:paraId="0BD0B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19" w:type="dxa"/>
            <w:gridSpan w:val="5"/>
            <w:vAlign w:val="center"/>
          </w:tcPr>
          <w:p w14:paraId="5B76B0F3">
            <w:pPr>
              <w:pStyle w:val="10"/>
              <w:adjustRightInd w:val="0"/>
              <w:snapToGrid w:val="0"/>
              <w:spacing w:after="0"/>
              <w:ind w:left="0" w:leftChars="0" w:firstLine="0" w:firstLineChars="0"/>
              <w:jc w:val="center"/>
              <w:rPr>
                <w:rFonts w:hint="eastAsia" w:ascii="仿宋_GB2312" w:eastAsia="仿宋_GB2312" w:cs="仿宋_GB2312"/>
                <w:bCs/>
                <w:color w:val="000000"/>
                <w:sz w:val="24"/>
                <w:szCs w:val="24"/>
                <w:lang w:val="en-US"/>
              </w:rPr>
            </w:pPr>
            <w:r>
              <w:rPr>
                <w:rFonts w:hint="eastAsia" w:eastAsia="仿宋"/>
                <w:b/>
                <w:color w:val="000000"/>
                <w:sz w:val="24"/>
                <w:szCs w:val="24"/>
                <w:lang w:val="en-US"/>
              </w:rPr>
              <w:t>模块数量</w:t>
            </w:r>
          </w:p>
        </w:tc>
        <w:tc>
          <w:tcPr>
            <w:tcW w:w="7911" w:type="dxa"/>
            <w:gridSpan w:val="6"/>
            <w:vAlign w:val="center"/>
          </w:tcPr>
          <w:p w14:paraId="138F6A96">
            <w:pPr>
              <w:pStyle w:val="10"/>
              <w:adjustRightInd w:val="0"/>
              <w:snapToGrid w:val="0"/>
              <w:spacing w:after="0"/>
              <w:ind w:left="0" w:leftChars="0" w:firstLine="0" w:firstLineChars="0"/>
              <w:jc w:val="center"/>
              <w:rPr>
                <w:rFonts w:hint="eastAsia" w:ascii="仿宋_GB2312" w:eastAsia="仿宋_GB2312" w:cs="仿宋_GB2312"/>
                <w:bCs/>
                <w:color w:val="000000"/>
                <w:sz w:val="24"/>
                <w:szCs w:val="24"/>
                <w:lang w:val="en-US"/>
              </w:rPr>
            </w:pPr>
          </w:p>
        </w:tc>
      </w:tr>
      <w:tr w14:paraId="2ACEB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42" w:type="dxa"/>
            <w:vAlign w:val="center"/>
          </w:tcPr>
          <w:p w14:paraId="231D1B07">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模块序号</w:t>
            </w:r>
          </w:p>
        </w:tc>
        <w:tc>
          <w:tcPr>
            <w:tcW w:w="1285" w:type="dxa"/>
            <w:vAlign w:val="center"/>
          </w:tcPr>
          <w:p w14:paraId="75E9D186">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技能竞赛内容</w:t>
            </w:r>
          </w:p>
        </w:tc>
        <w:tc>
          <w:tcPr>
            <w:tcW w:w="1292" w:type="dxa"/>
            <w:gridSpan w:val="2"/>
            <w:vAlign w:val="center"/>
          </w:tcPr>
          <w:p w14:paraId="0D94DF5F">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技术技能要点</w:t>
            </w:r>
          </w:p>
        </w:tc>
        <w:tc>
          <w:tcPr>
            <w:tcW w:w="1700" w:type="dxa"/>
            <w:vAlign w:val="center"/>
          </w:tcPr>
          <w:p w14:paraId="3B596BF4">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专业知识能力要求</w:t>
            </w:r>
          </w:p>
        </w:tc>
        <w:tc>
          <w:tcPr>
            <w:tcW w:w="2654" w:type="dxa"/>
            <w:gridSpan w:val="2"/>
            <w:vAlign w:val="center"/>
          </w:tcPr>
          <w:p w14:paraId="06798FD9">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对应核心课程</w:t>
            </w:r>
          </w:p>
        </w:tc>
        <w:tc>
          <w:tcPr>
            <w:tcW w:w="2919" w:type="dxa"/>
            <w:gridSpan w:val="2"/>
            <w:vAlign w:val="center"/>
          </w:tcPr>
          <w:p w14:paraId="647AAAE2">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权重占比</w:t>
            </w:r>
          </w:p>
          <w:p w14:paraId="71865A01">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w:t>
            </w:r>
          </w:p>
        </w:tc>
        <w:tc>
          <w:tcPr>
            <w:tcW w:w="1280" w:type="dxa"/>
            <w:vAlign w:val="center"/>
          </w:tcPr>
          <w:p w14:paraId="0592AE43">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竞赛时间</w:t>
            </w:r>
          </w:p>
          <w:p w14:paraId="58A83A01">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（min）</w:t>
            </w:r>
          </w:p>
        </w:tc>
        <w:tc>
          <w:tcPr>
            <w:tcW w:w="1058" w:type="dxa"/>
            <w:vAlign w:val="center"/>
          </w:tcPr>
          <w:p w14:paraId="286C8EA8">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评分方法</w:t>
            </w:r>
          </w:p>
        </w:tc>
      </w:tr>
      <w:tr w14:paraId="0729D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42" w:type="dxa"/>
            <w:vAlign w:val="center"/>
          </w:tcPr>
          <w:p w14:paraId="73BDBD4E">
            <w:pPr>
              <w:pStyle w:val="10"/>
              <w:spacing w:after="0"/>
              <w:ind w:left="0" w:leftChars="0" w:firstLine="0" w:firstLineChars="0"/>
              <w:rPr>
                <w:rFonts w:hint="eastAsia" w:eastAsia="仿宋"/>
                <w:color w:val="000000"/>
                <w:sz w:val="24"/>
                <w:szCs w:val="24"/>
                <w:lang w:val="en-US"/>
              </w:rPr>
            </w:pPr>
            <w:r>
              <w:rPr>
                <w:rFonts w:hint="eastAsia" w:eastAsia="仿宋"/>
                <w:color w:val="000000"/>
                <w:sz w:val="24"/>
                <w:szCs w:val="24"/>
                <w:lang w:val="en-US"/>
              </w:rPr>
              <w:t>模块1</w:t>
            </w:r>
          </w:p>
        </w:tc>
        <w:tc>
          <w:tcPr>
            <w:tcW w:w="1285" w:type="dxa"/>
            <w:vAlign w:val="center"/>
          </w:tcPr>
          <w:p w14:paraId="3283EA1E">
            <w:pPr>
              <w:pStyle w:val="10"/>
              <w:spacing w:after="0"/>
              <w:ind w:left="0" w:leftChars="0" w:firstLine="0" w:firstLineChars="0"/>
              <w:jc w:val="center"/>
              <w:rPr>
                <w:rFonts w:ascii="仿宋_GB2312" w:eastAsia="仿宋_GB2312"/>
                <w:color w:val="000000"/>
                <w:sz w:val="24"/>
                <w:szCs w:val="24"/>
                <w:lang w:val="en-US"/>
              </w:rPr>
            </w:pPr>
            <w:r>
              <w:rPr>
                <w:rFonts w:hint="eastAsia" w:ascii="仿宋_GB2312" w:eastAsia="仿宋_GB2312"/>
                <w:color w:val="000000"/>
                <w:sz w:val="24"/>
                <w:szCs w:val="24"/>
                <w:lang w:val="en-US"/>
              </w:rPr>
              <w:t>理论测试</w:t>
            </w:r>
          </w:p>
        </w:tc>
        <w:tc>
          <w:tcPr>
            <w:tcW w:w="1292" w:type="dxa"/>
            <w:gridSpan w:val="2"/>
            <w:vAlign w:val="center"/>
          </w:tcPr>
          <w:p w14:paraId="1FBB7D62">
            <w:pPr>
              <w:pStyle w:val="10"/>
              <w:spacing w:after="0"/>
              <w:ind w:left="0" w:leftChars="0" w:firstLine="0" w:firstLineChars="0"/>
              <w:jc w:val="center"/>
              <w:rPr>
                <w:rFonts w:hint="eastAsia" w:ascii="仿宋_GB2312" w:eastAsia="仿宋_GB2312"/>
                <w:color w:val="000000"/>
                <w:sz w:val="24"/>
                <w:szCs w:val="24"/>
                <w:lang w:val="en-US"/>
              </w:rPr>
            </w:pPr>
          </w:p>
        </w:tc>
        <w:tc>
          <w:tcPr>
            <w:tcW w:w="1700" w:type="dxa"/>
            <w:vAlign w:val="center"/>
          </w:tcPr>
          <w:p w14:paraId="079DAEA4">
            <w:pPr>
              <w:pStyle w:val="10"/>
              <w:spacing w:after="0"/>
              <w:ind w:left="0" w:leftChars="0" w:firstLine="0" w:firstLineChars="0"/>
              <w:jc w:val="left"/>
              <w:rPr>
                <w:rFonts w:hint="eastAsia" w:ascii="仿宋_GB2312" w:eastAsia="仿宋_GB2312"/>
                <w:color w:val="000000"/>
                <w:sz w:val="24"/>
                <w:szCs w:val="24"/>
                <w:lang w:val="en-US"/>
              </w:rPr>
            </w:pPr>
            <w:r>
              <w:rPr>
                <w:rFonts w:hint="eastAsia" w:ascii="仿宋_GB2312" w:eastAsia="仿宋_GB2312"/>
                <w:color w:val="000000"/>
                <w:sz w:val="24"/>
                <w:szCs w:val="24"/>
                <w:lang w:val="en-US"/>
              </w:rPr>
              <w:t>植物（包括果树、蔬菜、观赏植物等）栽培与养护、种苗繁育和病虫害防治相关基础理论知识和应用技术</w:t>
            </w:r>
          </w:p>
        </w:tc>
        <w:tc>
          <w:tcPr>
            <w:tcW w:w="2654" w:type="dxa"/>
            <w:gridSpan w:val="2"/>
            <w:vAlign w:val="center"/>
          </w:tcPr>
          <w:p w14:paraId="17B93C4B">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园艺作物种苗生产技术</w:t>
            </w:r>
          </w:p>
          <w:p w14:paraId="09456933">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果树、蔬菜、花卉生产技术</w:t>
            </w:r>
          </w:p>
          <w:p w14:paraId="60F3D35F">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种子种苗生产技术</w:t>
            </w:r>
          </w:p>
          <w:p w14:paraId="17488CE9">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作物、林业、园林植物生产与病虫害绿色防治</w:t>
            </w:r>
          </w:p>
          <w:p w14:paraId="1B3BA194">
            <w:pPr>
              <w:pStyle w:val="10"/>
              <w:spacing w:after="0"/>
              <w:ind w:left="0" w:leftChars="0" w:firstLine="0" w:firstLineChars="0"/>
              <w:rPr>
                <w:rFonts w:ascii="仿宋_GB2312" w:eastAsia="仿宋_GB2312"/>
                <w:color w:val="000000"/>
                <w:sz w:val="24"/>
                <w:szCs w:val="24"/>
                <w:lang w:val="en-US"/>
              </w:rPr>
            </w:pPr>
            <w:r>
              <w:rPr>
                <w:rFonts w:hint="eastAsia" w:ascii="仿宋_GB2312" w:eastAsia="仿宋_GB2312"/>
                <w:color w:val="000000"/>
                <w:sz w:val="24"/>
                <w:szCs w:val="24"/>
                <w:lang w:val="en-US"/>
              </w:rPr>
              <w:t>园艺作物、林木种苗生产技术等</w:t>
            </w:r>
          </w:p>
        </w:tc>
        <w:tc>
          <w:tcPr>
            <w:tcW w:w="2919" w:type="dxa"/>
            <w:gridSpan w:val="2"/>
            <w:vAlign w:val="center"/>
          </w:tcPr>
          <w:p w14:paraId="2B84BE4C">
            <w:pPr>
              <w:pStyle w:val="10"/>
              <w:spacing w:after="0"/>
              <w:ind w:left="0" w:leftChars="0" w:firstLine="0" w:firstLineChars="0"/>
              <w:jc w:val="center"/>
              <w:rPr>
                <w:rFonts w:ascii="仿宋_GB2312" w:eastAsia="仿宋_GB2312"/>
                <w:color w:val="000000"/>
                <w:sz w:val="24"/>
                <w:szCs w:val="24"/>
                <w:lang w:val="en-US"/>
              </w:rPr>
            </w:pPr>
            <w:r>
              <w:rPr>
                <w:rFonts w:hint="eastAsia" w:ascii="仿宋_GB2312" w:eastAsia="仿宋_GB2312"/>
                <w:color w:val="000000"/>
                <w:sz w:val="24"/>
                <w:szCs w:val="24"/>
                <w:lang w:val="en-US"/>
              </w:rPr>
              <w:t>15%</w:t>
            </w:r>
          </w:p>
        </w:tc>
        <w:tc>
          <w:tcPr>
            <w:tcW w:w="1280" w:type="dxa"/>
            <w:vAlign w:val="center"/>
          </w:tcPr>
          <w:p w14:paraId="4B24A4B4">
            <w:pPr>
              <w:pStyle w:val="10"/>
              <w:spacing w:after="0"/>
              <w:ind w:left="0" w:leftChars="0" w:firstLine="0" w:firstLineChars="0"/>
              <w:jc w:val="center"/>
              <w:rPr>
                <w:rFonts w:ascii="仿宋_GB2312" w:eastAsia="仿宋_GB2312"/>
                <w:color w:val="000000"/>
                <w:sz w:val="24"/>
                <w:szCs w:val="24"/>
                <w:lang w:val="en-US"/>
              </w:rPr>
            </w:pPr>
            <w:r>
              <w:rPr>
                <w:rFonts w:hint="eastAsia" w:ascii="仿宋_GB2312" w:eastAsia="仿宋_GB2312"/>
                <w:color w:val="000000"/>
                <w:sz w:val="24"/>
                <w:szCs w:val="24"/>
                <w:lang w:val="en-US"/>
              </w:rPr>
              <w:t>40</w:t>
            </w:r>
          </w:p>
        </w:tc>
        <w:tc>
          <w:tcPr>
            <w:tcW w:w="1058" w:type="dxa"/>
            <w:vAlign w:val="center"/>
          </w:tcPr>
          <w:p w14:paraId="6A9D357B">
            <w:pPr>
              <w:pStyle w:val="10"/>
              <w:spacing w:after="0"/>
              <w:ind w:left="0" w:leftChars="0" w:firstLine="0" w:firstLineChars="0"/>
              <w:jc w:val="center"/>
              <w:rPr>
                <w:rFonts w:ascii="仿宋_GB2312" w:eastAsia="仿宋_GB2312"/>
                <w:color w:val="000000"/>
                <w:sz w:val="24"/>
                <w:szCs w:val="24"/>
                <w:lang w:val="en-US"/>
              </w:rPr>
            </w:pPr>
            <w:r>
              <w:rPr>
                <w:rFonts w:ascii="仿宋_GB2312" w:eastAsia="仿宋_GB2312"/>
                <w:color w:val="000000"/>
                <w:sz w:val="24"/>
                <w:szCs w:val="24"/>
                <w:lang w:val="en-US"/>
              </w:rPr>
              <w:t>机考</w:t>
            </w:r>
          </w:p>
          <w:p w14:paraId="7E026858">
            <w:pPr>
              <w:pStyle w:val="10"/>
              <w:spacing w:after="0"/>
              <w:ind w:left="0" w:leftChars="0" w:firstLine="0" w:firstLineChars="0"/>
              <w:jc w:val="center"/>
              <w:rPr>
                <w:rFonts w:ascii="仿宋_GB2312" w:eastAsia="仿宋_GB2312"/>
                <w:color w:val="000000"/>
                <w:sz w:val="24"/>
                <w:szCs w:val="24"/>
                <w:lang w:val="en-US"/>
              </w:rPr>
            </w:pPr>
            <w:r>
              <w:rPr>
                <w:rFonts w:ascii="仿宋_GB2312" w:eastAsia="仿宋_GB2312"/>
                <w:color w:val="000000"/>
                <w:sz w:val="24"/>
                <w:szCs w:val="24"/>
                <w:lang w:val="en-US"/>
              </w:rPr>
              <w:t>评分</w:t>
            </w:r>
          </w:p>
        </w:tc>
      </w:tr>
      <w:tr w14:paraId="39F57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7" w:hRule="atLeast"/>
          <w:jc w:val="center"/>
        </w:trPr>
        <w:tc>
          <w:tcPr>
            <w:tcW w:w="1242" w:type="dxa"/>
            <w:vAlign w:val="center"/>
          </w:tcPr>
          <w:p w14:paraId="6D4A1E92">
            <w:pPr>
              <w:pStyle w:val="10"/>
              <w:spacing w:after="0"/>
              <w:ind w:left="0" w:leftChars="0" w:firstLine="0" w:firstLineChars="0"/>
              <w:rPr>
                <w:rFonts w:hint="eastAsia" w:eastAsia="仿宋"/>
                <w:color w:val="000000"/>
                <w:sz w:val="24"/>
                <w:szCs w:val="24"/>
                <w:lang w:val="en-US"/>
              </w:rPr>
            </w:pPr>
            <w:r>
              <w:rPr>
                <w:rFonts w:hint="eastAsia" w:eastAsia="仿宋"/>
                <w:color w:val="000000"/>
                <w:sz w:val="24"/>
                <w:szCs w:val="24"/>
                <w:lang w:val="en-US"/>
              </w:rPr>
              <w:t>模块2</w:t>
            </w:r>
          </w:p>
        </w:tc>
        <w:tc>
          <w:tcPr>
            <w:tcW w:w="1285" w:type="dxa"/>
            <w:vAlign w:val="center"/>
          </w:tcPr>
          <w:p w14:paraId="1AD4CF82">
            <w:pPr>
              <w:pStyle w:val="10"/>
              <w:spacing w:after="0"/>
              <w:ind w:left="0" w:leftChars="0" w:firstLine="0" w:firstLineChars="0"/>
              <w:jc w:val="center"/>
              <w:rPr>
                <w:rFonts w:ascii="仿宋_GB2312" w:eastAsia="仿宋_GB2312"/>
                <w:color w:val="000000"/>
                <w:sz w:val="24"/>
                <w:szCs w:val="24"/>
                <w:lang w:val="en-US"/>
              </w:rPr>
            </w:pPr>
            <w:r>
              <w:rPr>
                <w:rFonts w:hint="eastAsia" w:ascii="仿宋_GB2312" w:eastAsia="仿宋_GB2312"/>
                <w:color w:val="000000"/>
                <w:sz w:val="24"/>
                <w:szCs w:val="24"/>
                <w:lang w:val="en-US"/>
              </w:rPr>
              <w:t>营养液配制</w:t>
            </w:r>
          </w:p>
        </w:tc>
        <w:tc>
          <w:tcPr>
            <w:tcW w:w="1292" w:type="dxa"/>
            <w:gridSpan w:val="2"/>
            <w:vAlign w:val="center"/>
          </w:tcPr>
          <w:p w14:paraId="2381BA4D">
            <w:pPr>
              <w:pStyle w:val="10"/>
              <w:spacing w:after="0"/>
              <w:ind w:left="0" w:leftChars="0" w:firstLine="0" w:firstLineChars="0"/>
              <w:jc w:val="both"/>
              <w:rPr>
                <w:rFonts w:hint="eastAsia" w:ascii="仿宋_GB2312" w:eastAsia="仿宋_GB2312"/>
                <w:color w:val="000000"/>
                <w:sz w:val="24"/>
                <w:szCs w:val="24"/>
                <w:lang w:val="en-US"/>
              </w:rPr>
            </w:pPr>
            <w:r>
              <w:rPr>
                <w:rFonts w:hint="eastAsia" w:ascii="仿宋_GB2312" w:eastAsia="仿宋_GB2312"/>
                <w:color w:val="000000"/>
                <w:sz w:val="24"/>
                <w:szCs w:val="24"/>
                <w:lang w:val="en-US"/>
              </w:rPr>
              <w:t>1.配置溶液浓度所需试剂量的计算；</w:t>
            </w:r>
          </w:p>
          <w:p w14:paraId="1247BFFF">
            <w:pPr>
              <w:pStyle w:val="10"/>
              <w:spacing w:after="0"/>
              <w:ind w:left="0" w:leftChars="0" w:firstLine="0" w:firstLineChars="0"/>
              <w:jc w:val="both"/>
              <w:rPr>
                <w:rFonts w:hint="eastAsia" w:ascii="仿宋_GB2312" w:eastAsia="仿宋_GB2312"/>
                <w:color w:val="000000"/>
                <w:sz w:val="24"/>
                <w:szCs w:val="24"/>
                <w:lang w:val="en-US"/>
              </w:rPr>
            </w:pPr>
            <w:r>
              <w:rPr>
                <w:rFonts w:hint="eastAsia" w:ascii="仿宋_GB2312" w:eastAsia="仿宋_GB2312"/>
                <w:color w:val="000000"/>
                <w:sz w:val="24"/>
                <w:szCs w:val="24"/>
                <w:lang w:val="en-US"/>
              </w:rPr>
              <w:t>2.试剂称量；</w:t>
            </w:r>
          </w:p>
          <w:p w14:paraId="7427C445">
            <w:pPr>
              <w:pStyle w:val="10"/>
              <w:spacing w:after="0"/>
              <w:ind w:left="0" w:leftChars="0" w:firstLine="0" w:firstLineChars="0"/>
              <w:jc w:val="both"/>
              <w:rPr>
                <w:rFonts w:ascii="仿宋_GB2312" w:eastAsia="仿宋_GB2312"/>
                <w:color w:val="000000"/>
                <w:sz w:val="24"/>
                <w:szCs w:val="24"/>
                <w:lang w:val="en-US"/>
              </w:rPr>
            </w:pPr>
            <w:r>
              <w:rPr>
                <w:rFonts w:hint="eastAsia" w:ascii="仿宋_GB2312" w:eastAsia="仿宋_GB2312"/>
                <w:color w:val="000000"/>
                <w:sz w:val="24"/>
                <w:szCs w:val="24"/>
                <w:lang w:val="en-US"/>
              </w:rPr>
              <w:t>3.溶液配制。</w:t>
            </w:r>
          </w:p>
          <w:p w14:paraId="4A99191E">
            <w:pPr>
              <w:pStyle w:val="10"/>
              <w:spacing w:after="0"/>
              <w:ind w:firstLine="0" w:firstLineChars="0"/>
              <w:jc w:val="center"/>
              <w:rPr>
                <w:rFonts w:hint="eastAsia" w:ascii="仿宋_GB2312" w:eastAsia="仿宋_GB2312"/>
                <w:spacing w:val="4"/>
                <w:sz w:val="24"/>
                <w:lang w:val="en-US"/>
              </w:rPr>
            </w:pPr>
          </w:p>
          <w:p w14:paraId="4FEAF196">
            <w:pPr>
              <w:pStyle w:val="10"/>
              <w:spacing w:after="0"/>
              <w:ind w:left="0" w:leftChars="0" w:firstLine="0" w:firstLineChars="0"/>
              <w:jc w:val="center"/>
              <w:rPr>
                <w:rFonts w:ascii="仿宋_GB2312" w:eastAsia="仿宋_GB2312"/>
                <w:spacing w:val="4"/>
                <w:sz w:val="24"/>
                <w:lang w:val="en-US"/>
              </w:rPr>
            </w:pPr>
          </w:p>
        </w:tc>
        <w:tc>
          <w:tcPr>
            <w:tcW w:w="1700" w:type="dxa"/>
            <w:vAlign w:val="center"/>
          </w:tcPr>
          <w:p w14:paraId="0BB679C3">
            <w:pPr>
              <w:pStyle w:val="10"/>
              <w:spacing w:after="0"/>
              <w:ind w:left="0" w:leftChars="0" w:firstLine="0" w:firstLineChars="0"/>
              <w:jc w:val="left"/>
              <w:rPr>
                <w:rFonts w:hint="eastAsia" w:ascii="仿宋_GB2312" w:eastAsia="仿宋_GB2312"/>
                <w:color w:val="000000"/>
                <w:sz w:val="24"/>
                <w:szCs w:val="24"/>
                <w:lang w:val="en-US"/>
              </w:rPr>
            </w:pPr>
            <w:r>
              <w:rPr>
                <w:rFonts w:hint="eastAsia" w:ascii="仿宋_GB2312" w:eastAsia="仿宋_GB2312"/>
                <w:color w:val="000000"/>
                <w:sz w:val="24"/>
                <w:szCs w:val="24"/>
                <w:lang w:val="en-US"/>
              </w:rPr>
              <w:t>园艺作物种子种苗需肥规律</w:t>
            </w:r>
          </w:p>
          <w:p w14:paraId="7B0C7062">
            <w:pPr>
              <w:pStyle w:val="10"/>
              <w:spacing w:after="0"/>
              <w:ind w:left="0" w:leftChars="0" w:firstLine="0" w:firstLineChars="0"/>
              <w:jc w:val="left"/>
              <w:rPr>
                <w:rFonts w:ascii="仿宋_GB2312" w:eastAsia="仿宋_GB2312"/>
                <w:color w:val="000000"/>
                <w:sz w:val="24"/>
                <w:szCs w:val="24"/>
                <w:lang w:val="en-US"/>
              </w:rPr>
            </w:pPr>
            <w:r>
              <w:rPr>
                <w:rFonts w:hint="eastAsia" w:ascii="仿宋_GB2312" w:eastAsia="仿宋_GB2312"/>
                <w:color w:val="000000"/>
                <w:sz w:val="24"/>
                <w:szCs w:val="24"/>
                <w:lang w:val="en-US"/>
              </w:rPr>
              <w:t>肥料元素的性质</w:t>
            </w:r>
          </w:p>
        </w:tc>
        <w:tc>
          <w:tcPr>
            <w:tcW w:w="2654" w:type="dxa"/>
            <w:gridSpan w:val="2"/>
            <w:vAlign w:val="center"/>
          </w:tcPr>
          <w:p w14:paraId="057F79EC">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园艺作物种苗生产技术</w:t>
            </w:r>
          </w:p>
          <w:p w14:paraId="5A08E2A9">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林木种苗生产技术</w:t>
            </w:r>
          </w:p>
          <w:p w14:paraId="2B516970">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种子种苗生产技术</w:t>
            </w:r>
          </w:p>
          <w:p w14:paraId="036B82DF">
            <w:pPr>
              <w:pStyle w:val="10"/>
              <w:spacing w:after="0"/>
              <w:ind w:left="0" w:leftChars="0" w:firstLine="0" w:firstLineChars="0"/>
              <w:jc w:val="both"/>
              <w:rPr>
                <w:rFonts w:ascii="仿宋_GB2312" w:eastAsia="仿宋_GB2312"/>
                <w:color w:val="000000"/>
                <w:sz w:val="24"/>
                <w:szCs w:val="24"/>
                <w:lang w:val="en-US"/>
              </w:rPr>
            </w:pPr>
            <w:r>
              <w:rPr>
                <w:rFonts w:hint="eastAsia" w:ascii="仿宋_GB2312" w:eastAsia="仿宋_GB2312"/>
                <w:color w:val="000000"/>
                <w:sz w:val="24"/>
                <w:szCs w:val="24"/>
                <w:lang w:val="en-US"/>
              </w:rPr>
              <w:t>无土栽培技术等</w:t>
            </w:r>
          </w:p>
        </w:tc>
        <w:tc>
          <w:tcPr>
            <w:tcW w:w="2919" w:type="dxa"/>
            <w:gridSpan w:val="2"/>
            <w:vAlign w:val="center"/>
          </w:tcPr>
          <w:p w14:paraId="65FEF540">
            <w:pPr>
              <w:pStyle w:val="10"/>
              <w:spacing w:after="0"/>
              <w:ind w:left="0" w:leftChars="0" w:firstLine="0" w:firstLineChars="0"/>
              <w:jc w:val="center"/>
              <w:rPr>
                <w:rFonts w:ascii="仿宋_GB2312" w:eastAsia="仿宋_GB2312"/>
                <w:color w:val="000000"/>
                <w:sz w:val="24"/>
                <w:szCs w:val="24"/>
                <w:lang w:val="en-US"/>
              </w:rPr>
            </w:pPr>
            <w:r>
              <w:rPr>
                <w:rFonts w:hint="eastAsia" w:ascii="仿宋_GB2312" w:eastAsia="仿宋_GB2312"/>
                <w:color w:val="000000"/>
                <w:sz w:val="24"/>
                <w:szCs w:val="24"/>
                <w:lang w:val="en-US" w:eastAsia="zh-CN"/>
              </w:rPr>
              <w:t>26</w:t>
            </w:r>
            <w:r>
              <w:rPr>
                <w:rFonts w:hint="eastAsia" w:ascii="仿宋_GB2312" w:eastAsia="仿宋_GB2312"/>
                <w:color w:val="000000"/>
                <w:sz w:val="24"/>
                <w:szCs w:val="24"/>
                <w:lang w:val="en-US"/>
              </w:rPr>
              <w:t>%</w:t>
            </w:r>
          </w:p>
        </w:tc>
        <w:tc>
          <w:tcPr>
            <w:tcW w:w="1280" w:type="dxa"/>
            <w:vAlign w:val="center"/>
          </w:tcPr>
          <w:p w14:paraId="6BEEAC70">
            <w:pPr>
              <w:pStyle w:val="10"/>
              <w:spacing w:after="0"/>
              <w:ind w:left="0" w:leftChars="0" w:firstLine="0" w:firstLineChars="0"/>
              <w:jc w:val="center"/>
              <w:rPr>
                <w:rFonts w:ascii="仿宋_GB2312" w:eastAsia="仿宋_GB2312"/>
                <w:color w:val="000000"/>
                <w:szCs w:val="21"/>
                <w:lang w:val="en-US"/>
              </w:rPr>
            </w:pPr>
            <w:r>
              <w:rPr>
                <w:rFonts w:hint="eastAsia" w:ascii="仿宋_GB2312" w:eastAsia="仿宋_GB2312"/>
                <w:color w:val="000000"/>
                <w:szCs w:val="21"/>
                <w:lang w:val="en-US"/>
              </w:rPr>
              <w:t>70</w:t>
            </w:r>
          </w:p>
        </w:tc>
        <w:tc>
          <w:tcPr>
            <w:tcW w:w="1058" w:type="dxa"/>
            <w:vAlign w:val="center"/>
          </w:tcPr>
          <w:p w14:paraId="32E2F8F6">
            <w:pPr>
              <w:pStyle w:val="10"/>
              <w:spacing w:after="0"/>
              <w:ind w:left="0" w:leftChars="0" w:firstLine="0" w:firstLineChars="0"/>
              <w:jc w:val="center"/>
              <w:rPr>
                <w:rFonts w:ascii="仿宋_GB2312" w:eastAsia="仿宋_GB2312"/>
                <w:color w:val="000000"/>
                <w:sz w:val="24"/>
                <w:szCs w:val="24"/>
                <w:lang w:val="en-US"/>
              </w:rPr>
            </w:pPr>
            <w:r>
              <w:rPr>
                <w:rFonts w:ascii="仿宋_GB2312" w:eastAsia="仿宋_GB2312"/>
                <w:color w:val="000000"/>
                <w:sz w:val="24"/>
                <w:szCs w:val="24"/>
                <w:lang w:val="en-US"/>
              </w:rPr>
              <w:t>过程</w:t>
            </w:r>
          </w:p>
          <w:p w14:paraId="05C089B3">
            <w:pPr>
              <w:pStyle w:val="10"/>
              <w:spacing w:after="0"/>
              <w:ind w:left="0" w:leftChars="0" w:firstLine="0" w:firstLineChars="0"/>
              <w:jc w:val="center"/>
              <w:rPr>
                <w:rFonts w:ascii="仿宋_GB2312" w:eastAsia="仿宋_GB2312"/>
                <w:color w:val="000000"/>
                <w:sz w:val="24"/>
                <w:szCs w:val="24"/>
                <w:lang w:val="en-US"/>
              </w:rPr>
            </w:pPr>
            <w:r>
              <w:rPr>
                <w:rFonts w:ascii="仿宋_GB2312" w:eastAsia="仿宋_GB2312"/>
                <w:color w:val="000000"/>
                <w:sz w:val="24"/>
                <w:szCs w:val="24"/>
                <w:lang w:val="en-US"/>
              </w:rPr>
              <w:t>评分</w:t>
            </w:r>
          </w:p>
        </w:tc>
      </w:tr>
      <w:tr w14:paraId="568C5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42" w:type="dxa"/>
            <w:vAlign w:val="center"/>
          </w:tcPr>
          <w:p w14:paraId="26FA54DA">
            <w:pPr>
              <w:pStyle w:val="10"/>
              <w:spacing w:after="0"/>
              <w:ind w:left="0" w:leftChars="0" w:firstLine="0" w:firstLineChars="0"/>
              <w:rPr>
                <w:rFonts w:hint="eastAsia" w:eastAsia="仿宋"/>
                <w:color w:val="000000"/>
                <w:sz w:val="24"/>
                <w:szCs w:val="24"/>
                <w:lang w:val="en-US"/>
              </w:rPr>
            </w:pPr>
            <w:r>
              <w:rPr>
                <w:rFonts w:hint="eastAsia" w:eastAsia="仿宋"/>
                <w:color w:val="000000"/>
                <w:sz w:val="24"/>
                <w:szCs w:val="24"/>
                <w:lang w:val="en-US"/>
              </w:rPr>
              <w:t>模块3</w:t>
            </w:r>
          </w:p>
        </w:tc>
        <w:tc>
          <w:tcPr>
            <w:tcW w:w="1285" w:type="dxa"/>
            <w:vAlign w:val="center"/>
          </w:tcPr>
          <w:p w14:paraId="42B3AD7D">
            <w:pPr>
              <w:pStyle w:val="10"/>
              <w:spacing w:after="0"/>
              <w:ind w:left="0" w:leftChars="0" w:firstLine="0" w:firstLineChars="0"/>
              <w:jc w:val="center"/>
              <w:rPr>
                <w:rFonts w:ascii="仿宋_GB2312" w:eastAsia="仿宋_GB2312"/>
                <w:color w:val="000000"/>
                <w:sz w:val="24"/>
                <w:szCs w:val="24"/>
                <w:lang w:val="en-US"/>
              </w:rPr>
            </w:pPr>
            <w:r>
              <w:rPr>
                <w:rFonts w:hint="eastAsia" w:ascii="仿宋_GB2312" w:eastAsia="仿宋_GB2312"/>
                <w:color w:val="000000"/>
                <w:sz w:val="24"/>
                <w:szCs w:val="24"/>
                <w:lang w:val="en-US"/>
              </w:rPr>
              <w:t>嫁接育苗</w:t>
            </w:r>
          </w:p>
        </w:tc>
        <w:tc>
          <w:tcPr>
            <w:tcW w:w="1292" w:type="dxa"/>
            <w:gridSpan w:val="2"/>
            <w:vAlign w:val="center"/>
          </w:tcPr>
          <w:p w14:paraId="09338CD2">
            <w:pPr>
              <w:pStyle w:val="10"/>
              <w:spacing w:after="0"/>
              <w:ind w:left="0" w:leftChars="0" w:firstLine="0" w:firstLineChars="0"/>
              <w:jc w:val="both"/>
              <w:rPr>
                <w:rFonts w:hint="eastAsia" w:ascii="仿宋_GB2312" w:eastAsia="仿宋_GB2312"/>
                <w:color w:val="000000"/>
                <w:sz w:val="24"/>
                <w:szCs w:val="24"/>
                <w:lang w:val="en-US"/>
              </w:rPr>
            </w:pPr>
            <w:r>
              <w:rPr>
                <w:rFonts w:hint="eastAsia" w:ascii="仿宋_GB2312" w:eastAsia="仿宋_GB2312"/>
                <w:color w:val="000000"/>
                <w:sz w:val="24"/>
                <w:szCs w:val="24"/>
                <w:lang w:val="en-US" w:eastAsia="zh-CN"/>
              </w:rPr>
              <w:t>1</w:t>
            </w:r>
            <w:r>
              <w:rPr>
                <w:rFonts w:hint="eastAsia" w:ascii="仿宋_GB2312" w:eastAsia="仿宋_GB2312"/>
                <w:color w:val="000000"/>
                <w:sz w:val="24"/>
                <w:szCs w:val="24"/>
                <w:lang w:val="en-US"/>
              </w:rPr>
              <w:t>.茄子劈接技术；</w:t>
            </w:r>
          </w:p>
          <w:p w14:paraId="204C5C5B">
            <w:pPr>
              <w:pStyle w:val="10"/>
              <w:spacing w:after="0"/>
              <w:ind w:left="0" w:leftChars="0" w:firstLine="0" w:firstLineChars="0"/>
              <w:jc w:val="both"/>
              <w:rPr>
                <w:rFonts w:hint="eastAsia" w:ascii="仿宋_GB2312" w:eastAsia="仿宋_GB2312"/>
                <w:color w:val="000000"/>
                <w:sz w:val="24"/>
                <w:szCs w:val="24"/>
                <w:lang w:val="en-US"/>
              </w:rPr>
            </w:pPr>
            <w:r>
              <w:rPr>
                <w:rFonts w:hint="eastAsia" w:ascii="仿宋_GB2312" w:eastAsia="仿宋_GB2312"/>
                <w:color w:val="000000"/>
                <w:sz w:val="24"/>
                <w:szCs w:val="24"/>
                <w:lang w:val="en-US" w:eastAsia="zh-CN"/>
              </w:rPr>
              <w:t>2</w:t>
            </w:r>
            <w:r>
              <w:rPr>
                <w:rFonts w:hint="eastAsia" w:ascii="仿宋_GB2312" w:eastAsia="仿宋_GB2312"/>
                <w:color w:val="000000"/>
                <w:sz w:val="24"/>
                <w:szCs w:val="24"/>
                <w:lang w:val="en-US"/>
              </w:rPr>
              <w:t>.黄瓜顶插接技术。</w:t>
            </w:r>
          </w:p>
          <w:p w14:paraId="2A8DBBD9">
            <w:pPr>
              <w:pStyle w:val="10"/>
              <w:spacing w:after="0"/>
              <w:ind w:left="0" w:leftChars="0" w:firstLine="0" w:firstLineChars="0"/>
              <w:jc w:val="both"/>
              <w:rPr>
                <w:rFonts w:hint="default" w:ascii="仿宋_GB2312" w:eastAsia="仿宋_GB2312"/>
                <w:color w:val="000000"/>
                <w:sz w:val="24"/>
                <w:szCs w:val="24"/>
                <w:lang w:val="en-US" w:eastAsia="zh-CN"/>
              </w:rPr>
            </w:pPr>
            <w:r>
              <w:rPr>
                <w:rFonts w:hint="eastAsia" w:ascii="仿宋_GB2312" w:eastAsia="仿宋_GB2312"/>
                <w:color w:val="000000"/>
                <w:sz w:val="24"/>
                <w:szCs w:val="24"/>
                <w:lang w:val="en-US" w:eastAsia="zh-CN"/>
              </w:rPr>
              <w:t>3.</w:t>
            </w:r>
            <w:r>
              <w:rPr>
                <w:rFonts w:hint="eastAsia" w:ascii="Times New Roman" w:hAnsi="Times New Roman" w:eastAsia="仿宋_GB2312"/>
                <w:spacing w:val="-4"/>
                <w:lang w:eastAsia="zh-CN"/>
              </w:rPr>
              <w:t>嫁接后管理</w:t>
            </w:r>
          </w:p>
          <w:p w14:paraId="2F18C5EB">
            <w:pPr>
              <w:pStyle w:val="10"/>
              <w:spacing w:after="0"/>
              <w:ind w:left="0" w:leftChars="0" w:firstLine="0" w:firstLineChars="0"/>
              <w:jc w:val="center"/>
              <w:rPr>
                <w:rFonts w:ascii="仿宋_GB2312" w:eastAsia="仿宋_GB2312"/>
                <w:color w:val="000000"/>
                <w:sz w:val="24"/>
                <w:szCs w:val="24"/>
                <w:lang w:val="en-US"/>
              </w:rPr>
            </w:pPr>
          </w:p>
        </w:tc>
        <w:tc>
          <w:tcPr>
            <w:tcW w:w="1700" w:type="dxa"/>
            <w:vAlign w:val="center"/>
          </w:tcPr>
          <w:p w14:paraId="70690301">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植物生产技术</w:t>
            </w:r>
          </w:p>
          <w:p w14:paraId="67CD3CDC">
            <w:pPr>
              <w:pStyle w:val="10"/>
              <w:spacing w:after="0"/>
              <w:ind w:left="0" w:leftChars="0" w:firstLine="0" w:firstLineChars="0"/>
              <w:jc w:val="left"/>
              <w:rPr>
                <w:rFonts w:hint="eastAsia" w:ascii="仿宋_GB2312" w:eastAsia="仿宋_GB2312"/>
                <w:color w:val="000000"/>
                <w:sz w:val="24"/>
                <w:szCs w:val="24"/>
                <w:lang w:val="en-US"/>
              </w:rPr>
            </w:pPr>
            <w:r>
              <w:rPr>
                <w:rFonts w:hint="eastAsia" w:ascii="仿宋_GB2312" w:eastAsia="仿宋_GB2312"/>
                <w:color w:val="000000"/>
                <w:sz w:val="24"/>
                <w:szCs w:val="24"/>
                <w:lang w:val="en-US"/>
              </w:rPr>
              <w:t>植物嫁接的基本原理和技术操作原理</w:t>
            </w:r>
          </w:p>
          <w:p w14:paraId="5A982D3E">
            <w:pPr>
              <w:pStyle w:val="10"/>
              <w:spacing w:after="0"/>
              <w:ind w:left="0" w:leftChars="0" w:firstLine="0" w:firstLineChars="0"/>
              <w:jc w:val="left"/>
              <w:rPr>
                <w:rFonts w:hint="default" w:ascii="仿宋_GB2312" w:eastAsia="仿宋_GB2312"/>
                <w:color w:val="000000"/>
                <w:sz w:val="24"/>
                <w:szCs w:val="24"/>
                <w:lang w:val="en-US" w:eastAsia="zh-CN"/>
              </w:rPr>
            </w:pPr>
            <w:r>
              <w:rPr>
                <w:rFonts w:hint="eastAsia" w:ascii="仿宋_GB2312" w:eastAsia="仿宋_GB2312"/>
                <w:color w:val="000000"/>
                <w:sz w:val="24"/>
                <w:szCs w:val="24"/>
                <w:lang w:val="en-US" w:eastAsia="zh-CN"/>
              </w:rPr>
              <w:t>农业物联网基本原理</w:t>
            </w:r>
          </w:p>
        </w:tc>
        <w:tc>
          <w:tcPr>
            <w:tcW w:w="2654" w:type="dxa"/>
            <w:gridSpan w:val="2"/>
            <w:vAlign w:val="center"/>
          </w:tcPr>
          <w:p w14:paraId="25DF9D5C">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园艺作物种苗生产技术</w:t>
            </w:r>
          </w:p>
          <w:p w14:paraId="0FB3F810">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果树、蔬菜、花卉生产技术</w:t>
            </w:r>
          </w:p>
          <w:p w14:paraId="50E34CE6">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林木、种子种苗生产技术</w:t>
            </w:r>
          </w:p>
          <w:p w14:paraId="45C5F760">
            <w:pPr>
              <w:pStyle w:val="10"/>
              <w:spacing w:after="0"/>
              <w:ind w:left="0" w:leftChars="0" w:firstLine="0" w:firstLineChars="0"/>
              <w:rPr>
                <w:rFonts w:hint="eastAsia" w:ascii="仿宋_GB2312" w:eastAsia="仿宋_GB2312"/>
                <w:color w:val="000000"/>
                <w:sz w:val="24"/>
                <w:szCs w:val="24"/>
                <w:lang w:val="en-US"/>
              </w:rPr>
            </w:pPr>
            <w:r>
              <w:rPr>
                <w:rFonts w:hint="eastAsia" w:ascii="仿宋_GB2312" w:eastAsia="仿宋_GB2312"/>
                <w:color w:val="000000"/>
                <w:sz w:val="24"/>
                <w:szCs w:val="24"/>
                <w:lang w:val="en-US"/>
              </w:rPr>
              <w:t>农业物联网应用技术</w:t>
            </w:r>
          </w:p>
          <w:p w14:paraId="0E00CBE5">
            <w:pPr>
              <w:pStyle w:val="10"/>
              <w:spacing w:after="0"/>
              <w:ind w:left="0" w:leftChars="0" w:firstLine="0" w:firstLineChars="0"/>
              <w:rPr>
                <w:rFonts w:hint="eastAsia" w:ascii="仿宋_GB2312" w:eastAsia="仿宋_GB2312"/>
                <w:color w:val="000000"/>
                <w:sz w:val="24"/>
                <w:szCs w:val="24"/>
                <w:lang w:val="en-US"/>
              </w:rPr>
            </w:pPr>
          </w:p>
          <w:p w14:paraId="40E865BD">
            <w:pPr>
              <w:pStyle w:val="10"/>
              <w:spacing w:after="0"/>
              <w:ind w:left="0" w:leftChars="0" w:firstLine="0" w:firstLineChars="0"/>
              <w:jc w:val="center"/>
              <w:rPr>
                <w:rFonts w:hint="eastAsia" w:ascii="仿宋_GB2312" w:eastAsia="仿宋_GB2312"/>
                <w:color w:val="000000"/>
                <w:sz w:val="24"/>
                <w:szCs w:val="24"/>
                <w:lang w:val="en-US"/>
              </w:rPr>
            </w:pPr>
          </w:p>
        </w:tc>
        <w:tc>
          <w:tcPr>
            <w:tcW w:w="2919" w:type="dxa"/>
            <w:gridSpan w:val="2"/>
            <w:vAlign w:val="center"/>
          </w:tcPr>
          <w:p w14:paraId="6E841D5D">
            <w:pPr>
              <w:pStyle w:val="10"/>
              <w:spacing w:after="0"/>
              <w:ind w:left="0" w:leftChars="0" w:firstLine="0" w:firstLineChars="0"/>
              <w:jc w:val="center"/>
              <w:rPr>
                <w:rFonts w:ascii="仿宋_GB2312" w:eastAsia="仿宋_GB2312"/>
                <w:color w:val="000000"/>
                <w:sz w:val="24"/>
                <w:szCs w:val="24"/>
                <w:lang w:val="en-US"/>
              </w:rPr>
            </w:pPr>
            <w:r>
              <w:rPr>
                <w:rFonts w:hint="eastAsia" w:ascii="仿宋_GB2312" w:eastAsia="仿宋_GB2312"/>
                <w:color w:val="000000"/>
                <w:sz w:val="24"/>
                <w:szCs w:val="24"/>
                <w:lang w:val="en-US" w:eastAsia="zh-CN"/>
              </w:rPr>
              <w:t>59</w:t>
            </w:r>
            <w:r>
              <w:rPr>
                <w:rFonts w:hint="eastAsia" w:ascii="仿宋_GB2312" w:eastAsia="仿宋_GB2312"/>
                <w:color w:val="000000"/>
                <w:sz w:val="24"/>
                <w:szCs w:val="24"/>
                <w:lang w:val="en-US"/>
              </w:rPr>
              <w:t>%</w:t>
            </w:r>
          </w:p>
        </w:tc>
        <w:tc>
          <w:tcPr>
            <w:tcW w:w="1280" w:type="dxa"/>
            <w:vAlign w:val="center"/>
          </w:tcPr>
          <w:p w14:paraId="24ED5510">
            <w:pPr>
              <w:pStyle w:val="10"/>
              <w:spacing w:after="0"/>
              <w:ind w:left="0" w:leftChars="0" w:firstLine="0" w:firstLineChars="0"/>
              <w:jc w:val="center"/>
              <w:rPr>
                <w:rFonts w:hint="default" w:ascii="仿宋_GB2312" w:eastAsia="仿宋_GB2312"/>
                <w:color w:val="000000"/>
                <w:szCs w:val="21"/>
                <w:lang w:val="en-US" w:eastAsia="zh-CN"/>
              </w:rPr>
            </w:pPr>
            <w:r>
              <w:rPr>
                <w:rFonts w:hint="eastAsia" w:ascii="仿宋_GB2312" w:eastAsia="仿宋_GB2312"/>
                <w:color w:val="000000"/>
                <w:szCs w:val="21"/>
                <w:lang w:val="en-US" w:eastAsia="zh-CN"/>
              </w:rPr>
              <w:t>70</w:t>
            </w:r>
          </w:p>
        </w:tc>
        <w:tc>
          <w:tcPr>
            <w:tcW w:w="1058" w:type="dxa"/>
            <w:vAlign w:val="center"/>
          </w:tcPr>
          <w:p w14:paraId="4289C6E3">
            <w:pPr>
              <w:pStyle w:val="10"/>
              <w:spacing w:after="0"/>
              <w:ind w:left="0" w:leftChars="0" w:firstLine="0" w:firstLineChars="0"/>
              <w:jc w:val="center"/>
              <w:rPr>
                <w:rFonts w:ascii="仿宋_GB2312" w:eastAsia="仿宋_GB2312"/>
                <w:color w:val="000000"/>
                <w:sz w:val="24"/>
                <w:szCs w:val="24"/>
                <w:lang w:val="en-US"/>
              </w:rPr>
            </w:pPr>
            <w:r>
              <w:rPr>
                <w:rFonts w:ascii="仿宋_GB2312" w:eastAsia="仿宋_GB2312"/>
                <w:color w:val="000000"/>
                <w:sz w:val="24"/>
                <w:szCs w:val="24"/>
                <w:lang w:val="en-US"/>
              </w:rPr>
              <w:t>过程评分</w:t>
            </w:r>
            <w:r>
              <w:rPr>
                <w:rFonts w:hint="eastAsia" w:ascii="仿宋_GB2312" w:eastAsia="仿宋_GB2312"/>
                <w:color w:val="000000"/>
                <w:sz w:val="24"/>
                <w:szCs w:val="24"/>
                <w:lang w:val="en-US"/>
              </w:rPr>
              <w:t>、结果评分</w:t>
            </w:r>
          </w:p>
        </w:tc>
      </w:tr>
      <w:tr w14:paraId="231A8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42" w:type="dxa"/>
            <w:vAlign w:val="center"/>
          </w:tcPr>
          <w:p w14:paraId="55EF24AC">
            <w:pPr>
              <w:pStyle w:val="10"/>
              <w:spacing w:after="0"/>
              <w:ind w:left="0" w:leftChars="0" w:firstLine="0" w:firstLineChars="0"/>
              <w:rPr>
                <w:rFonts w:hint="eastAsia" w:eastAsia="仿宋"/>
                <w:color w:val="000000"/>
                <w:sz w:val="24"/>
                <w:szCs w:val="24"/>
                <w:lang w:val="en-US"/>
              </w:rPr>
            </w:pPr>
            <w:r>
              <w:rPr>
                <w:rFonts w:hint="eastAsia" w:eastAsia="仿宋"/>
                <w:color w:val="000000"/>
                <w:sz w:val="24"/>
                <w:szCs w:val="24"/>
                <w:lang w:val="en-US"/>
              </w:rPr>
              <w:t>...</w:t>
            </w:r>
          </w:p>
        </w:tc>
        <w:tc>
          <w:tcPr>
            <w:tcW w:w="1285" w:type="dxa"/>
            <w:vAlign w:val="center"/>
          </w:tcPr>
          <w:p w14:paraId="1A34D223">
            <w:pPr>
              <w:pStyle w:val="10"/>
              <w:spacing w:after="0"/>
              <w:ind w:left="0" w:leftChars="0" w:firstLine="0" w:firstLineChars="0"/>
              <w:jc w:val="center"/>
              <w:rPr>
                <w:rFonts w:hint="eastAsia" w:ascii="仿宋_GB2312" w:eastAsia="仿宋_GB2312"/>
                <w:color w:val="000000"/>
                <w:sz w:val="24"/>
                <w:szCs w:val="24"/>
                <w:lang w:val="en-US"/>
              </w:rPr>
            </w:pPr>
          </w:p>
        </w:tc>
        <w:tc>
          <w:tcPr>
            <w:tcW w:w="1292" w:type="dxa"/>
            <w:gridSpan w:val="2"/>
            <w:vAlign w:val="center"/>
          </w:tcPr>
          <w:p w14:paraId="7B93D4DF">
            <w:pPr>
              <w:pStyle w:val="10"/>
              <w:spacing w:after="0"/>
              <w:ind w:left="0" w:leftChars="0" w:firstLine="0" w:firstLineChars="0"/>
              <w:jc w:val="center"/>
              <w:rPr>
                <w:rFonts w:hint="eastAsia" w:ascii="仿宋_GB2312" w:eastAsia="仿宋_GB2312"/>
                <w:color w:val="000000"/>
                <w:sz w:val="24"/>
                <w:szCs w:val="24"/>
                <w:lang w:val="en-US"/>
              </w:rPr>
            </w:pPr>
          </w:p>
        </w:tc>
        <w:tc>
          <w:tcPr>
            <w:tcW w:w="1700" w:type="dxa"/>
            <w:vAlign w:val="center"/>
          </w:tcPr>
          <w:p w14:paraId="53F4B3A3">
            <w:pPr>
              <w:pStyle w:val="10"/>
              <w:spacing w:after="0"/>
              <w:ind w:left="0" w:leftChars="0" w:firstLine="0" w:firstLineChars="0"/>
              <w:jc w:val="center"/>
              <w:rPr>
                <w:rFonts w:hint="eastAsia" w:ascii="仿宋_GB2312" w:eastAsia="仿宋_GB2312"/>
                <w:color w:val="000000"/>
                <w:sz w:val="24"/>
                <w:szCs w:val="24"/>
                <w:lang w:val="en-US"/>
              </w:rPr>
            </w:pPr>
          </w:p>
        </w:tc>
        <w:tc>
          <w:tcPr>
            <w:tcW w:w="2654" w:type="dxa"/>
            <w:gridSpan w:val="2"/>
            <w:vAlign w:val="center"/>
          </w:tcPr>
          <w:p w14:paraId="51D29380">
            <w:pPr>
              <w:pStyle w:val="10"/>
              <w:spacing w:after="0"/>
              <w:ind w:left="0" w:leftChars="0" w:firstLine="0" w:firstLineChars="0"/>
              <w:jc w:val="center"/>
              <w:rPr>
                <w:rFonts w:hint="eastAsia" w:ascii="仿宋_GB2312" w:eastAsia="仿宋_GB2312"/>
                <w:color w:val="000000"/>
                <w:sz w:val="24"/>
                <w:szCs w:val="24"/>
                <w:lang w:val="en-US"/>
              </w:rPr>
            </w:pPr>
          </w:p>
        </w:tc>
        <w:tc>
          <w:tcPr>
            <w:tcW w:w="2919" w:type="dxa"/>
            <w:gridSpan w:val="2"/>
            <w:vAlign w:val="center"/>
          </w:tcPr>
          <w:p w14:paraId="3D0E8EFD">
            <w:pPr>
              <w:pStyle w:val="10"/>
              <w:spacing w:after="0"/>
              <w:ind w:left="0" w:leftChars="0" w:firstLine="0" w:firstLineChars="0"/>
              <w:jc w:val="center"/>
              <w:rPr>
                <w:rFonts w:hint="eastAsia" w:ascii="仿宋_GB2312" w:eastAsia="仿宋_GB2312"/>
                <w:color w:val="000000"/>
                <w:sz w:val="24"/>
                <w:szCs w:val="24"/>
                <w:lang w:val="en-US"/>
              </w:rPr>
            </w:pPr>
          </w:p>
        </w:tc>
        <w:tc>
          <w:tcPr>
            <w:tcW w:w="1280" w:type="dxa"/>
            <w:vAlign w:val="center"/>
          </w:tcPr>
          <w:p w14:paraId="0726CAD4">
            <w:pPr>
              <w:pStyle w:val="10"/>
              <w:spacing w:after="0"/>
              <w:ind w:left="0" w:leftChars="0" w:firstLine="0" w:firstLineChars="0"/>
              <w:jc w:val="center"/>
              <w:rPr>
                <w:rFonts w:hint="eastAsia" w:ascii="仿宋_GB2312" w:eastAsia="仿宋_GB2312"/>
                <w:color w:val="000000"/>
                <w:szCs w:val="21"/>
                <w:lang w:val="en-US"/>
              </w:rPr>
            </w:pPr>
            <w:r>
              <w:rPr>
                <w:rFonts w:hint="eastAsia" w:ascii="仿宋_GB2312" w:eastAsia="仿宋_GB2312"/>
                <w:bCs/>
                <w:color w:val="000000"/>
                <w:szCs w:val="21"/>
                <w:lang w:val="en-US"/>
              </w:rPr>
              <w:t>...</w:t>
            </w:r>
          </w:p>
        </w:tc>
        <w:tc>
          <w:tcPr>
            <w:tcW w:w="1058" w:type="dxa"/>
            <w:vAlign w:val="center"/>
          </w:tcPr>
          <w:p w14:paraId="370FEF67">
            <w:pPr>
              <w:pStyle w:val="10"/>
              <w:spacing w:after="0"/>
              <w:ind w:left="0" w:leftChars="0" w:firstLine="0" w:firstLineChars="0"/>
              <w:jc w:val="center"/>
              <w:rPr>
                <w:rFonts w:hint="eastAsia" w:ascii="仿宋_GB2312" w:eastAsia="仿宋_GB2312"/>
                <w:color w:val="000000"/>
                <w:sz w:val="24"/>
                <w:szCs w:val="24"/>
                <w:lang w:val="en-US"/>
              </w:rPr>
            </w:pPr>
          </w:p>
        </w:tc>
      </w:tr>
      <w:tr w14:paraId="11C15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1242" w:type="dxa"/>
            <w:vAlign w:val="center"/>
          </w:tcPr>
          <w:p w14:paraId="1DBC2757">
            <w:pPr>
              <w:pStyle w:val="10"/>
              <w:spacing w:after="0"/>
              <w:ind w:left="0" w:leftChars="0" w:firstLine="0" w:firstLineChars="0"/>
              <w:rPr>
                <w:rFonts w:hint="eastAsia" w:eastAsia="仿宋"/>
                <w:color w:val="000000"/>
                <w:sz w:val="24"/>
                <w:szCs w:val="24"/>
                <w:lang w:val="en-US"/>
              </w:rPr>
            </w:pPr>
            <w:r>
              <w:rPr>
                <w:rFonts w:hint="eastAsia" w:eastAsia="仿宋"/>
                <w:color w:val="000000"/>
                <w:sz w:val="24"/>
                <w:szCs w:val="24"/>
                <w:lang w:val="en-US"/>
              </w:rPr>
              <w:t>模块N</w:t>
            </w:r>
          </w:p>
        </w:tc>
        <w:tc>
          <w:tcPr>
            <w:tcW w:w="1285" w:type="dxa"/>
            <w:vAlign w:val="center"/>
          </w:tcPr>
          <w:p w14:paraId="0F35BB33">
            <w:pPr>
              <w:pStyle w:val="10"/>
              <w:spacing w:after="0"/>
              <w:ind w:left="0" w:leftChars="0" w:firstLine="0" w:firstLineChars="0"/>
              <w:jc w:val="center"/>
              <w:rPr>
                <w:rFonts w:hint="eastAsia" w:ascii="仿宋_GB2312" w:eastAsia="仿宋_GB2312"/>
                <w:color w:val="000000"/>
                <w:sz w:val="24"/>
                <w:szCs w:val="24"/>
                <w:lang w:val="en-US"/>
              </w:rPr>
            </w:pPr>
          </w:p>
        </w:tc>
        <w:tc>
          <w:tcPr>
            <w:tcW w:w="1292" w:type="dxa"/>
            <w:gridSpan w:val="2"/>
            <w:vAlign w:val="center"/>
          </w:tcPr>
          <w:p w14:paraId="6F8BBC40">
            <w:pPr>
              <w:pStyle w:val="10"/>
              <w:spacing w:after="0"/>
              <w:ind w:left="0" w:leftChars="0" w:firstLine="0" w:firstLineChars="0"/>
              <w:jc w:val="center"/>
              <w:rPr>
                <w:rFonts w:hint="eastAsia" w:ascii="仿宋_GB2312" w:eastAsia="仿宋_GB2312"/>
                <w:color w:val="000000"/>
                <w:sz w:val="24"/>
                <w:szCs w:val="24"/>
                <w:lang w:val="en-US"/>
              </w:rPr>
            </w:pPr>
          </w:p>
        </w:tc>
        <w:tc>
          <w:tcPr>
            <w:tcW w:w="1700" w:type="dxa"/>
            <w:vAlign w:val="center"/>
          </w:tcPr>
          <w:p w14:paraId="3B0E7C31">
            <w:pPr>
              <w:pStyle w:val="10"/>
              <w:spacing w:after="0"/>
              <w:ind w:left="0" w:leftChars="0" w:firstLine="0" w:firstLineChars="0"/>
              <w:jc w:val="center"/>
              <w:rPr>
                <w:rFonts w:hint="eastAsia" w:ascii="仿宋_GB2312" w:eastAsia="仿宋_GB2312"/>
                <w:color w:val="000000"/>
                <w:sz w:val="24"/>
                <w:szCs w:val="24"/>
                <w:lang w:val="en-US"/>
              </w:rPr>
            </w:pPr>
          </w:p>
        </w:tc>
        <w:tc>
          <w:tcPr>
            <w:tcW w:w="2654" w:type="dxa"/>
            <w:gridSpan w:val="2"/>
            <w:vAlign w:val="center"/>
          </w:tcPr>
          <w:p w14:paraId="4605A344">
            <w:pPr>
              <w:pStyle w:val="10"/>
              <w:spacing w:after="0"/>
              <w:ind w:left="0" w:leftChars="0" w:firstLine="0" w:firstLineChars="0"/>
              <w:jc w:val="center"/>
              <w:rPr>
                <w:rFonts w:hint="eastAsia" w:ascii="仿宋_GB2312" w:eastAsia="仿宋_GB2312"/>
                <w:color w:val="000000"/>
                <w:sz w:val="24"/>
                <w:szCs w:val="24"/>
                <w:lang w:val="en-US"/>
              </w:rPr>
            </w:pPr>
          </w:p>
        </w:tc>
        <w:tc>
          <w:tcPr>
            <w:tcW w:w="2919" w:type="dxa"/>
            <w:gridSpan w:val="2"/>
            <w:vAlign w:val="center"/>
          </w:tcPr>
          <w:p w14:paraId="6B7D27FE">
            <w:pPr>
              <w:pStyle w:val="10"/>
              <w:spacing w:after="0"/>
              <w:ind w:left="0" w:leftChars="0" w:firstLine="0" w:firstLineChars="0"/>
              <w:jc w:val="center"/>
              <w:rPr>
                <w:rFonts w:hint="eastAsia" w:ascii="仿宋_GB2312" w:eastAsia="仿宋_GB2312"/>
                <w:color w:val="000000"/>
                <w:sz w:val="24"/>
                <w:szCs w:val="24"/>
                <w:lang w:val="en-US"/>
              </w:rPr>
            </w:pPr>
          </w:p>
        </w:tc>
        <w:tc>
          <w:tcPr>
            <w:tcW w:w="1280" w:type="dxa"/>
            <w:vAlign w:val="center"/>
          </w:tcPr>
          <w:p w14:paraId="662A0621">
            <w:pPr>
              <w:pStyle w:val="10"/>
              <w:spacing w:after="0"/>
              <w:ind w:left="0" w:leftChars="0" w:firstLine="0" w:firstLineChars="0"/>
              <w:jc w:val="center"/>
              <w:rPr>
                <w:rFonts w:hint="eastAsia" w:ascii="仿宋_GB2312" w:eastAsia="仿宋_GB2312"/>
                <w:bCs/>
                <w:color w:val="000000"/>
                <w:szCs w:val="21"/>
                <w:lang w:val="en-US"/>
              </w:rPr>
            </w:pPr>
          </w:p>
        </w:tc>
        <w:tc>
          <w:tcPr>
            <w:tcW w:w="1058" w:type="dxa"/>
            <w:vAlign w:val="center"/>
          </w:tcPr>
          <w:p w14:paraId="547C2DE2">
            <w:pPr>
              <w:pStyle w:val="10"/>
              <w:spacing w:after="0"/>
              <w:ind w:left="0" w:leftChars="0" w:firstLine="0" w:firstLineChars="0"/>
              <w:jc w:val="center"/>
              <w:rPr>
                <w:rFonts w:hint="eastAsia" w:ascii="仿宋_GB2312" w:eastAsia="仿宋_GB2312"/>
                <w:color w:val="000000"/>
                <w:sz w:val="24"/>
                <w:szCs w:val="24"/>
                <w:lang w:val="en-US"/>
              </w:rPr>
            </w:pPr>
          </w:p>
        </w:tc>
      </w:tr>
    </w:tbl>
    <w:p w14:paraId="6CC70402">
      <w:pPr>
        <w:ind w:firstLine="560"/>
        <w:rPr>
          <w:rFonts w:hint="eastAsia"/>
          <w:color w:val="000000"/>
          <w:sz w:val="28"/>
        </w:rPr>
      </w:pPr>
      <w:r>
        <w:rPr>
          <w:rFonts w:hint="eastAsia"/>
          <w:color w:val="000000"/>
          <w:sz w:val="28"/>
        </w:rPr>
        <w:t>（注：评分方法分为机考评分、过程评分和结果评分三类，可选填）</w:t>
      </w:r>
    </w:p>
    <w:p w14:paraId="6A04B615">
      <w:pPr>
        <w:jc w:val="center"/>
        <w:rPr>
          <w:rFonts w:hint="eastAsia"/>
          <w:b/>
          <w:color w:val="000000"/>
          <w:sz w:val="24"/>
          <w:szCs w:val="24"/>
        </w:rPr>
      </w:pPr>
      <w:r>
        <w:rPr>
          <w:rFonts w:hint="eastAsia"/>
          <w:b/>
          <w:color w:val="000000"/>
          <w:sz w:val="24"/>
          <w:szCs w:val="24"/>
        </w:rPr>
        <w:t>表5 技能模块2任务分解</w:t>
      </w:r>
    </w:p>
    <w:tbl>
      <w:tblPr>
        <w:tblStyle w:val="11"/>
        <w:tblW w:w="132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7"/>
        <w:gridCol w:w="1236"/>
        <w:gridCol w:w="1207"/>
        <w:gridCol w:w="1687"/>
        <w:gridCol w:w="2560"/>
        <w:gridCol w:w="4811"/>
      </w:tblGrid>
      <w:tr w14:paraId="77FB3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97" w:type="dxa"/>
            <w:vAlign w:val="center"/>
          </w:tcPr>
          <w:p w14:paraId="2DE2028D">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模块序号</w:t>
            </w:r>
          </w:p>
        </w:tc>
        <w:tc>
          <w:tcPr>
            <w:tcW w:w="2443" w:type="dxa"/>
            <w:gridSpan w:val="2"/>
            <w:vAlign w:val="center"/>
          </w:tcPr>
          <w:p w14:paraId="7C926A57">
            <w:pPr>
              <w:pStyle w:val="10"/>
              <w:spacing w:after="0"/>
              <w:ind w:left="0" w:leftChars="0" w:firstLine="720" w:firstLineChars="300"/>
              <w:rPr>
                <w:rFonts w:hint="eastAsia" w:eastAsia="仿宋"/>
                <w:color w:val="000000"/>
                <w:sz w:val="24"/>
                <w:szCs w:val="24"/>
                <w:lang w:val="en-US"/>
              </w:rPr>
            </w:pPr>
            <w:r>
              <w:rPr>
                <w:rFonts w:hint="eastAsia" w:eastAsia="仿宋"/>
                <w:color w:val="000000"/>
                <w:sz w:val="24"/>
                <w:szCs w:val="24"/>
                <w:lang w:val="en-US"/>
              </w:rPr>
              <w:t>模块二</w:t>
            </w:r>
          </w:p>
        </w:tc>
        <w:tc>
          <w:tcPr>
            <w:tcW w:w="1687" w:type="dxa"/>
            <w:vAlign w:val="center"/>
          </w:tcPr>
          <w:p w14:paraId="044EE9D8">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对应赛项编号</w:t>
            </w:r>
          </w:p>
        </w:tc>
        <w:tc>
          <w:tcPr>
            <w:tcW w:w="7371" w:type="dxa"/>
            <w:gridSpan w:val="2"/>
            <w:vAlign w:val="center"/>
          </w:tcPr>
          <w:p w14:paraId="0A9C2C50">
            <w:pPr>
              <w:pStyle w:val="10"/>
              <w:spacing w:after="0"/>
              <w:ind w:left="0" w:leftChars="0" w:firstLine="960" w:firstLineChars="400"/>
              <w:rPr>
                <w:rFonts w:hint="eastAsia" w:eastAsia="仿宋"/>
                <w:color w:val="000000"/>
                <w:sz w:val="24"/>
                <w:szCs w:val="24"/>
                <w:lang w:val="en-US"/>
              </w:rPr>
            </w:pPr>
            <w:r>
              <w:rPr>
                <w:rFonts w:hint="eastAsia" w:eastAsia="仿宋"/>
                <w:color w:val="000000"/>
                <w:sz w:val="24"/>
                <w:szCs w:val="24"/>
                <w:lang w:val="en-US"/>
              </w:rPr>
              <w:t>ZZ002</w:t>
            </w:r>
          </w:p>
        </w:tc>
      </w:tr>
      <w:tr w14:paraId="1CE06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97" w:type="dxa"/>
            <w:vAlign w:val="center"/>
          </w:tcPr>
          <w:p w14:paraId="688DC58A">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模块名称</w:t>
            </w:r>
          </w:p>
        </w:tc>
        <w:tc>
          <w:tcPr>
            <w:tcW w:w="2443" w:type="dxa"/>
            <w:gridSpan w:val="2"/>
            <w:vAlign w:val="center"/>
          </w:tcPr>
          <w:p w14:paraId="2F0A2DFB">
            <w:pPr>
              <w:pStyle w:val="10"/>
              <w:spacing w:after="0"/>
              <w:ind w:left="0" w:leftChars="0" w:firstLine="480"/>
              <w:rPr>
                <w:rFonts w:hint="eastAsia" w:eastAsia="仿宋"/>
                <w:color w:val="000000"/>
                <w:sz w:val="24"/>
                <w:szCs w:val="24"/>
                <w:lang w:val="en-US"/>
              </w:rPr>
            </w:pPr>
            <w:r>
              <w:rPr>
                <w:rFonts w:hint="eastAsia" w:eastAsia="仿宋"/>
                <w:color w:val="000000"/>
                <w:sz w:val="24"/>
                <w:szCs w:val="24"/>
                <w:lang w:val="en-US"/>
              </w:rPr>
              <w:t>营养液的配制</w:t>
            </w:r>
          </w:p>
        </w:tc>
        <w:tc>
          <w:tcPr>
            <w:tcW w:w="1687" w:type="dxa"/>
            <w:vAlign w:val="center"/>
          </w:tcPr>
          <w:p w14:paraId="64E58C06">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子任务数量</w:t>
            </w:r>
          </w:p>
        </w:tc>
        <w:tc>
          <w:tcPr>
            <w:tcW w:w="7371" w:type="dxa"/>
            <w:gridSpan w:val="2"/>
            <w:vAlign w:val="center"/>
          </w:tcPr>
          <w:p w14:paraId="5368B642">
            <w:pPr>
              <w:pStyle w:val="10"/>
              <w:spacing w:after="0"/>
              <w:ind w:left="0" w:leftChars="0" w:firstLine="1200" w:firstLineChars="500"/>
              <w:rPr>
                <w:rFonts w:eastAsia="仿宋"/>
                <w:color w:val="000000"/>
                <w:sz w:val="24"/>
                <w:szCs w:val="24"/>
                <w:lang w:val="en-US"/>
              </w:rPr>
            </w:pPr>
            <w:r>
              <w:rPr>
                <w:rFonts w:hint="eastAsia" w:eastAsia="仿宋"/>
                <w:color w:val="000000"/>
                <w:sz w:val="24"/>
                <w:szCs w:val="24"/>
                <w:lang w:val="en-US"/>
              </w:rPr>
              <w:t>2</w:t>
            </w:r>
          </w:p>
        </w:tc>
      </w:tr>
      <w:tr w14:paraId="12A67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97" w:type="dxa"/>
            <w:vAlign w:val="center"/>
          </w:tcPr>
          <w:p w14:paraId="3AB2825B">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竞赛时间</w:t>
            </w:r>
          </w:p>
        </w:tc>
        <w:tc>
          <w:tcPr>
            <w:tcW w:w="11501" w:type="dxa"/>
            <w:gridSpan w:val="5"/>
            <w:vAlign w:val="center"/>
          </w:tcPr>
          <w:p w14:paraId="645A5E87">
            <w:pPr>
              <w:pStyle w:val="10"/>
              <w:spacing w:after="0"/>
              <w:ind w:left="0" w:leftChars="0" w:firstLine="0" w:firstLineChars="0"/>
              <w:rPr>
                <w:rFonts w:hint="eastAsia" w:eastAsia="仿宋_GB2312"/>
                <w:color w:val="000000"/>
                <w:sz w:val="24"/>
                <w:szCs w:val="24"/>
                <w:lang w:val="en-US"/>
              </w:rPr>
            </w:pPr>
            <w:r>
              <w:rPr>
                <w:rFonts w:hint="eastAsia" w:eastAsia="仿宋"/>
                <w:color w:val="000000"/>
                <w:sz w:val="24"/>
                <w:szCs w:val="24"/>
                <w:lang w:val="en-US"/>
              </w:rPr>
              <w:t>总时间90分钟，其中准备20分钟、实施和过程评价70分钟</w:t>
            </w:r>
          </w:p>
        </w:tc>
      </w:tr>
      <w:tr w14:paraId="7EFE2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97" w:type="dxa"/>
            <w:vAlign w:val="center"/>
          </w:tcPr>
          <w:p w14:paraId="4107F7D9">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任务描述</w:t>
            </w:r>
          </w:p>
        </w:tc>
        <w:tc>
          <w:tcPr>
            <w:tcW w:w="11501" w:type="dxa"/>
            <w:gridSpan w:val="5"/>
            <w:vAlign w:val="center"/>
          </w:tcPr>
          <w:p w14:paraId="41904B45">
            <w:pPr>
              <w:pStyle w:val="10"/>
              <w:spacing w:after="0"/>
              <w:ind w:left="0" w:leftChars="0" w:firstLine="0" w:firstLineChars="0"/>
              <w:rPr>
                <w:rFonts w:hint="eastAsia" w:eastAsia="仿宋"/>
                <w:color w:val="000000"/>
                <w:sz w:val="24"/>
                <w:szCs w:val="24"/>
                <w:lang w:val="en-US"/>
              </w:rPr>
            </w:pPr>
            <w:r>
              <w:rPr>
                <w:rFonts w:hint="eastAsia" w:ascii="仿宋_GB2312" w:eastAsia="仿宋_GB2312"/>
                <w:spacing w:val="4"/>
                <w:sz w:val="24"/>
              </w:rPr>
              <w:t>在规定70分钟内独立完成园试配方部分化合物的母液配制和工作液配制。</w:t>
            </w:r>
          </w:p>
        </w:tc>
      </w:tr>
      <w:tr w14:paraId="6CB93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97" w:type="dxa"/>
            <w:vAlign w:val="center"/>
          </w:tcPr>
          <w:p w14:paraId="4A0BD73D">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职业要素</w:t>
            </w:r>
          </w:p>
        </w:tc>
        <w:tc>
          <w:tcPr>
            <w:tcW w:w="11501" w:type="dxa"/>
            <w:gridSpan w:val="5"/>
            <w:vAlign w:val="center"/>
          </w:tcPr>
          <w:p w14:paraId="077BE2D6">
            <w:pPr>
              <w:pStyle w:val="10"/>
              <w:spacing w:after="0"/>
              <w:ind w:left="0" w:leftChars="0" w:firstLine="0" w:firstLineChars="0"/>
              <w:rPr>
                <w:rFonts w:eastAsia="仿宋"/>
                <w:color w:val="000000"/>
                <w:sz w:val="24"/>
                <w:szCs w:val="24"/>
                <w:lang w:val="en-US"/>
              </w:rPr>
            </w:pPr>
            <w:r>
              <w:rPr>
                <w:rFonts w:hint="eastAsia" w:eastAsia="仿宋"/>
                <w:color w:val="000000"/>
                <w:sz w:val="24"/>
                <w:szCs w:val="24"/>
                <w:lang w:val="en-US"/>
              </w:rPr>
              <w:sym w:font="Wingdings 2" w:char="0052"/>
            </w:r>
            <w:r>
              <w:rPr>
                <w:rFonts w:hint="eastAsia" w:eastAsia="仿宋"/>
                <w:color w:val="000000"/>
                <w:sz w:val="24"/>
                <w:szCs w:val="24"/>
                <w:lang w:val="en-US"/>
              </w:rPr>
              <w:t xml:space="preserve">基本专业素养  </w:t>
            </w:r>
            <w:r>
              <w:rPr>
                <w:rFonts w:hint="eastAsia" w:eastAsia="仿宋"/>
                <w:color w:val="000000"/>
                <w:sz w:val="24"/>
                <w:szCs w:val="24"/>
                <w:lang w:val="en-US"/>
              </w:rPr>
              <w:sym w:font="Wingdings 2" w:char="0052"/>
            </w:r>
            <w:r>
              <w:rPr>
                <w:rFonts w:hint="eastAsia" w:eastAsia="仿宋"/>
                <w:color w:val="000000"/>
                <w:sz w:val="24"/>
                <w:szCs w:val="24"/>
                <w:lang w:val="en-US"/>
              </w:rPr>
              <w:t xml:space="preserve">专业实践技能  </w:t>
            </w:r>
            <w:r>
              <w:rPr>
                <w:rFonts w:hint="eastAsia" w:eastAsia="仿宋"/>
                <w:color w:val="000000"/>
                <w:sz w:val="24"/>
                <w:szCs w:val="24"/>
                <w:lang w:val="en-US"/>
              </w:rPr>
              <w:sym w:font="Wingdings 2" w:char="0052"/>
            </w:r>
            <w:r>
              <w:rPr>
                <w:rFonts w:hint="eastAsia" w:eastAsia="仿宋"/>
                <w:color w:val="000000"/>
                <w:sz w:val="24"/>
                <w:szCs w:val="24"/>
                <w:lang w:val="en-US"/>
              </w:rPr>
              <w:t xml:space="preserve">协调协作能力  </w:t>
            </w:r>
            <w:r>
              <w:rPr>
                <w:rFonts w:hint="eastAsia" w:eastAsia="仿宋"/>
                <w:color w:val="000000"/>
                <w:sz w:val="24"/>
                <w:szCs w:val="24"/>
                <w:lang w:val="en-US"/>
              </w:rPr>
              <w:sym w:font="Wingdings 2" w:char="0052"/>
            </w:r>
            <w:r>
              <w:rPr>
                <w:rFonts w:hint="eastAsia" w:eastAsia="仿宋"/>
                <w:color w:val="000000"/>
                <w:sz w:val="24"/>
                <w:szCs w:val="24"/>
                <w:lang w:val="en-US"/>
              </w:rPr>
              <w:t>持续发展能力</w:t>
            </w:r>
          </w:p>
        </w:tc>
      </w:tr>
      <w:tr w14:paraId="0C33E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97" w:type="dxa"/>
            <w:vMerge w:val="restart"/>
            <w:vAlign w:val="center"/>
          </w:tcPr>
          <w:p w14:paraId="27C6ADF7">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具体任务要求</w:t>
            </w:r>
          </w:p>
        </w:tc>
        <w:tc>
          <w:tcPr>
            <w:tcW w:w="1236" w:type="dxa"/>
            <w:vAlign w:val="center"/>
          </w:tcPr>
          <w:p w14:paraId="285D8C9C">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子任务</w:t>
            </w:r>
          </w:p>
          <w:p w14:paraId="02E6E9D9">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序号</w:t>
            </w:r>
          </w:p>
        </w:tc>
        <w:tc>
          <w:tcPr>
            <w:tcW w:w="1207" w:type="dxa"/>
            <w:vAlign w:val="center"/>
          </w:tcPr>
          <w:p w14:paraId="4BD03CC6">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任务要求</w:t>
            </w:r>
          </w:p>
        </w:tc>
        <w:tc>
          <w:tcPr>
            <w:tcW w:w="1687" w:type="dxa"/>
            <w:vAlign w:val="center"/>
          </w:tcPr>
          <w:p w14:paraId="7B786CD5">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操作过程</w:t>
            </w:r>
          </w:p>
        </w:tc>
        <w:tc>
          <w:tcPr>
            <w:tcW w:w="2560" w:type="dxa"/>
            <w:vAlign w:val="center"/>
          </w:tcPr>
          <w:p w14:paraId="7C94AD10">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考核点</w:t>
            </w:r>
          </w:p>
        </w:tc>
        <w:tc>
          <w:tcPr>
            <w:tcW w:w="4811" w:type="dxa"/>
            <w:vAlign w:val="center"/>
          </w:tcPr>
          <w:p w14:paraId="1B2E8B16">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评价标准</w:t>
            </w:r>
          </w:p>
        </w:tc>
      </w:tr>
      <w:tr w14:paraId="555F4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797" w:type="dxa"/>
            <w:vMerge w:val="continue"/>
            <w:vAlign w:val="center"/>
          </w:tcPr>
          <w:p w14:paraId="59A0B2C8">
            <w:pPr>
              <w:pStyle w:val="10"/>
              <w:adjustRightInd w:val="0"/>
              <w:snapToGrid w:val="0"/>
              <w:spacing w:after="0"/>
              <w:ind w:left="0" w:leftChars="0" w:firstLine="0" w:firstLineChars="0"/>
              <w:jc w:val="center"/>
              <w:rPr>
                <w:rFonts w:hint="eastAsia" w:eastAsia="仿宋"/>
                <w:b/>
                <w:color w:val="000000"/>
                <w:sz w:val="24"/>
                <w:szCs w:val="24"/>
                <w:lang w:val="en-US"/>
              </w:rPr>
            </w:pPr>
          </w:p>
        </w:tc>
        <w:tc>
          <w:tcPr>
            <w:tcW w:w="1236" w:type="dxa"/>
            <w:vAlign w:val="center"/>
          </w:tcPr>
          <w:p w14:paraId="61CEFF71">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子任务1-1</w:t>
            </w:r>
          </w:p>
        </w:tc>
        <w:tc>
          <w:tcPr>
            <w:tcW w:w="1207" w:type="dxa"/>
            <w:vAlign w:val="center"/>
          </w:tcPr>
          <w:p w14:paraId="7F529971">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rPr>
              <w:t>母液配制</w:t>
            </w:r>
          </w:p>
        </w:tc>
        <w:tc>
          <w:tcPr>
            <w:tcW w:w="1687" w:type="dxa"/>
            <w:vAlign w:val="center"/>
          </w:tcPr>
          <w:p w14:paraId="626746E1">
            <w:pPr>
              <w:pStyle w:val="10"/>
              <w:spacing w:after="0"/>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1.计算;</w:t>
            </w:r>
          </w:p>
          <w:p w14:paraId="3F34371C">
            <w:pPr>
              <w:pStyle w:val="10"/>
              <w:spacing w:after="0"/>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2.试剂称量;</w:t>
            </w:r>
          </w:p>
          <w:p w14:paraId="4BB4334E">
            <w:pPr>
              <w:pStyle w:val="10"/>
              <w:spacing w:after="0"/>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3.药品的称量；</w:t>
            </w:r>
          </w:p>
          <w:p w14:paraId="4E233E82">
            <w:pPr>
              <w:pStyle w:val="10"/>
              <w:spacing w:after="0"/>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4.母液配制。</w:t>
            </w:r>
          </w:p>
        </w:tc>
        <w:tc>
          <w:tcPr>
            <w:tcW w:w="2560" w:type="dxa"/>
            <w:vAlign w:val="center"/>
          </w:tcPr>
          <w:p w14:paraId="0066A50E">
            <w:pPr>
              <w:pStyle w:val="10"/>
              <w:spacing w:after="0"/>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1.准确计算各种试剂所用量;</w:t>
            </w:r>
          </w:p>
          <w:p w14:paraId="30704D34">
            <w:pPr>
              <w:pStyle w:val="10"/>
              <w:spacing w:after="0"/>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2.A、B 液试剂使用百分之一 天平称量，C 液试剂使用万分之一天平;</w:t>
            </w:r>
          </w:p>
          <w:p w14:paraId="5EE9FF44">
            <w:pPr>
              <w:pStyle w:val="10"/>
              <w:spacing w:after="0"/>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3.规范称量药品；</w:t>
            </w:r>
          </w:p>
          <w:p w14:paraId="71A9F699">
            <w:pPr>
              <w:pStyle w:val="10"/>
              <w:spacing w:after="0"/>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4．溶解、移液、定容、贮液、贴标签。</w:t>
            </w:r>
          </w:p>
        </w:tc>
        <w:tc>
          <w:tcPr>
            <w:tcW w:w="4811" w:type="dxa"/>
            <w:vAlign w:val="center"/>
          </w:tcPr>
          <w:p w14:paraId="31D4EBAA">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1．准确计算所需试剂量，填写报告纸，错误1个扣0.5分。</w:t>
            </w:r>
          </w:p>
          <w:p w14:paraId="493612DB">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2．规范使用天平，读数举手确认后及时记录（1分），称量纸或烧杯取放不正确扣0.5分，角匙取样不轻拍手腕扣1分，样品洒落扣1分，称量范围在规定量的±5%～±10%内扣1分。</w:t>
            </w:r>
          </w:p>
          <w:p w14:paraId="721771FF">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3．规范溶解、移液玻璃棒引流和冲洗烧杯次数少于3次扣0.5分，装入贮液瓶，并贴上标签，注明A、B、C液、日期、工号，少一项扣0.5分</w:t>
            </w:r>
          </w:p>
        </w:tc>
      </w:tr>
      <w:tr w14:paraId="22BA9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97" w:type="dxa"/>
            <w:vMerge w:val="continue"/>
            <w:vAlign w:val="center"/>
          </w:tcPr>
          <w:p w14:paraId="7B2CD7B9">
            <w:pPr>
              <w:pStyle w:val="10"/>
              <w:adjustRightInd w:val="0"/>
              <w:snapToGrid w:val="0"/>
              <w:spacing w:after="0"/>
              <w:ind w:left="0" w:leftChars="0" w:firstLine="0" w:firstLineChars="0"/>
              <w:jc w:val="center"/>
              <w:rPr>
                <w:rFonts w:hint="eastAsia" w:eastAsia="仿宋"/>
                <w:b/>
                <w:color w:val="000000"/>
                <w:sz w:val="24"/>
                <w:szCs w:val="24"/>
                <w:lang w:val="en-US"/>
              </w:rPr>
            </w:pPr>
          </w:p>
        </w:tc>
        <w:tc>
          <w:tcPr>
            <w:tcW w:w="1236" w:type="dxa"/>
            <w:vAlign w:val="center"/>
          </w:tcPr>
          <w:p w14:paraId="1D4C8BE7">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子任务1-2</w:t>
            </w:r>
          </w:p>
        </w:tc>
        <w:tc>
          <w:tcPr>
            <w:tcW w:w="1207" w:type="dxa"/>
            <w:vAlign w:val="center"/>
          </w:tcPr>
          <w:p w14:paraId="3695D994">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工作液配制</w:t>
            </w:r>
          </w:p>
        </w:tc>
        <w:tc>
          <w:tcPr>
            <w:tcW w:w="1687" w:type="dxa"/>
            <w:vAlign w:val="center"/>
          </w:tcPr>
          <w:p w14:paraId="552F29BC">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1.计算；</w:t>
            </w:r>
          </w:p>
          <w:p w14:paraId="509209E3">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2.工作液配制；</w:t>
            </w:r>
          </w:p>
          <w:p w14:paraId="0E6A9AF2">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rPr>
              <w:t>3.工位整理。</w:t>
            </w:r>
          </w:p>
        </w:tc>
        <w:tc>
          <w:tcPr>
            <w:tcW w:w="2560" w:type="dxa"/>
            <w:vAlign w:val="center"/>
          </w:tcPr>
          <w:p w14:paraId="64AEB5FE">
            <w:pPr>
              <w:pStyle w:val="10"/>
              <w:spacing w:after="0"/>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1．准确计算 A、B、C 各浓缩母液的移取量 每空 0.5分；</w:t>
            </w:r>
          </w:p>
          <w:p w14:paraId="07558223">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rPr>
              <w:t>2．移液、工作液溶解步骤、定容；</w:t>
            </w:r>
          </w:p>
          <w:p w14:paraId="4313CA4E">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rPr>
              <w:t>3.桌面整洁、药品试剂归原、贴标签。</w:t>
            </w:r>
          </w:p>
        </w:tc>
        <w:tc>
          <w:tcPr>
            <w:tcW w:w="4811" w:type="dxa"/>
            <w:vAlign w:val="center"/>
          </w:tcPr>
          <w:p w14:paraId="5D4010D6">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1．准确计算A、B、C各浓缩母液的移取量，每空 0.5分。</w:t>
            </w:r>
          </w:p>
          <w:p w14:paraId="7DDC82DD">
            <w:pPr>
              <w:pStyle w:val="10"/>
              <w:spacing w:after="0"/>
              <w:ind w:left="0" w:leftChars="0" w:firstLine="0" w:firstLineChars="0"/>
              <w:rPr>
                <w:rFonts w:hint="eastAsia" w:ascii="仿宋_GB2312" w:hAnsi="宋体" w:eastAsia="仿宋_GB2312" w:cs="宋体"/>
                <w:sz w:val="24"/>
                <w:lang w:val="en-US" w:eastAsia="zh-CN"/>
              </w:rPr>
            </w:pPr>
            <w:r>
              <w:rPr>
                <w:rFonts w:hint="eastAsia" w:ascii="仿宋_GB2312" w:hAnsi="宋体" w:eastAsia="仿宋_GB2312" w:cs="宋体"/>
                <w:sz w:val="24"/>
                <w:lang w:val="en-US"/>
              </w:rPr>
              <w:t>2．</w:t>
            </w:r>
            <w:r>
              <w:rPr>
                <w:rFonts w:hint="eastAsia" w:ascii="仿宋_GB2312" w:hAnsi="宋体" w:eastAsia="仿宋_GB2312" w:cs="宋体"/>
                <w:kern w:val="0"/>
                <w:sz w:val="24"/>
                <w:szCs w:val="24"/>
              </w:rPr>
              <w:t>移液管吸空、触底吸液扣1分，移液管尖端紧靠烧杯内壁，用滤纸擦干移液管下端外壁溶液，凹面与标线不相切，少1项扣0.5分；移液管放液，液面至管尖后停留15s，将混合的工作液加水稀释至量杯1/2，并移至烧杯、定容</w:t>
            </w:r>
            <w:r>
              <w:rPr>
                <w:rFonts w:hint="eastAsia" w:ascii="仿宋_GB2312" w:hAnsi="宋体" w:eastAsia="仿宋_GB2312" w:cs="宋体"/>
                <w:kern w:val="0"/>
                <w:sz w:val="24"/>
                <w:szCs w:val="24"/>
                <w:lang w:eastAsia="zh-CN"/>
              </w:rPr>
              <w:t>，</w:t>
            </w:r>
            <w:r>
              <w:rPr>
                <w:rFonts w:hint="eastAsia" w:ascii="仿宋_GB2312" w:hAnsi="宋体" w:eastAsia="仿宋_GB2312" w:cs="宋体"/>
                <w:kern w:val="0"/>
                <w:sz w:val="24"/>
                <w:szCs w:val="24"/>
              </w:rPr>
              <w:t>错误</w:t>
            </w:r>
            <w:r>
              <w:rPr>
                <w:rFonts w:hint="eastAsia" w:ascii="仿宋_GB2312" w:hAnsi="宋体" w:eastAsia="仿宋_GB2312" w:cs="宋体"/>
                <w:kern w:val="0"/>
                <w:sz w:val="24"/>
                <w:szCs w:val="24"/>
                <w:lang w:val="en-US" w:eastAsia="zh-CN"/>
              </w:rPr>
              <w:t>1处</w:t>
            </w:r>
            <w:r>
              <w:rPr>
                <w:rFonts w:hint="eastAsia" w:ascii="仿宋_GB2312" w:hAnsi="宋体" w:eastAsia="仿宋_GB2312" w:cs="宋体"/>
                <w:kern w:val="0"/>
                <w:sz w:val="24"/>
                <w:szCs w:val="24"/>
              </w:rPr>
              <w:t>扣1分，搅匀不规范扣1分，扣完为止</w:t>
            </w:r>
            <w:r>
              <w:rPr>
                <w:rFonts w:hint="eastAsia" w:ascii="仿宋_GB2312" w:hAnsi="宋体" w:eastAsia="仿宋_GB2312" w:cs="宋体"/>
                <w:kern w:val="0"/>
                <w:sz w:val="24"/>
                <w:szCs w:val="24"/>
                <w:lang w:eastAsia="zh-CN"/>
              </w:rPr>
              <w:t>。</w:t>
            </w:r>
          </w:p>
          <w:p w14:paraId="3C7A91C8">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3．仪器摆放整齐、台面干净、整洁（1分）；废纸/废液不乱扔乱倒（1分）；结束后清洗仪器（1分）</w:t>
            </w:r>
          </w:p>
        </w:tc>
      </w:tr>
      <w:tr w14:paraId="28C7E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97" w:type="dxa"/>
            <w:vMerge w:val="restart"/>
            <w:vAlign w:val="center"/>
          </w:tcPr>
          <w:p w14:paraId="25A3B49F">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赛项技术规范</w:t>
            </w:r>
          </w:p>
        </w:tc>
        <w:tc>
          <w:tcPr>
            <w:tcW w:w="2443" w:type="dxa"/>
            <w:gridSpan w:val="2"/>
            <w:vAlign w:val="center"/>
          </w:tcPr>
          <w:p w14:paraId="7084CE65">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涉及专业教学要求</w:t>
            </w:r>
          </w:p>
        </w:tc>
        <w:tc>
          <w:tcPr>
            <w:tcW w:w="9058" w:type="dxa"/>
            <w:gridSpan w:val="3"/>
            <w:vAlign w:val="center"/>
          </w:tcPr>
          <w:p w14:paraId="6F61F66F">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1．掌握园试配方部分化合物母液配制所需各种试剂用量计算、工作液配制所需要的母液用量计算；</w:t>
            </w:r>
          </w:p>
          <w:p w14:paraId="46D10822">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2．学会试剂称量、溶解、溶液转移、稀释、定容、保存等规范操作技能。</w:t>
            </w:r>
          </w:p>
        </w:tc>
      </w:tr>
      <w:tr w14:paraId="17E38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97" w:type="dxa"/>
            <w:vMerge w:val="continue"/>
            <w:vAlign w:val="center"/>
          </w:tcPr>
          <w:p w14:paraId="0C48B8B5">
            <w:pPr>
              <w:pStyle w:val="10"/>
              <w:adjustRightInd w:val="0"/>
              <w:snapToGrid w:val="0"/>
              <w:spacing w:after="0"/>
              <w:ind w:left="0" w:leftChars="0" w:firstLine="0" w:firstLineChars="0"/>
              <w:jc w:val="center"/>
              <w:rPr>
                <w:rFonts w:hint="eastAsia" w:eastAsia="仿宋"/>
                <w:b/>
                <w:color w:val="000000"/>
                <w:sz w:val="24"/>
                <w:szCs w:val="24"/>
                <w:lang w:val="en-US"/>
              </w:rPr>
            </w:pPr>
          </w:p>
        </w:tc>
        <w:tc>
          <w:tcPr>
            <w:tcW w:w="2443" w:type="dxa"/>
            <w:gridSpan w:val="2"/>
            <w:vAlign w:val="center"/>
          </w:tcPr>
          <w:p w14:paraId="3EBA9561">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遵循国家标准和行业标准</w:t>
            </w:r>
          </w:p>
        </w:tc>
        <w:tc>
          <w:tcPr>
            <w:tcW w:w="9058" w:type="dxa"/>
            <w:gridSpan w:val="3"/>
            <w:vAlign w:val="center"/>
          </w:tcPr>
          <w:p w14:paraId="333F61D1">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 xml:space="preserve">1.引用职业标准 </w:t>
            </w:r>
          </w:p>
          <w:p w14:paraId="56A33CF3">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设施蔬菜生产职业技能等级证书（中级）</w:t>
            </w:r>
          </w:p>
          <w:p w14:paraId="0C193FAD">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2.引用技术标准</w:t>
            </w:r>
          </w:p>
          <w:p w14:paraId="61270E46">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《蔬菜穴盘育苗通则》（NY/T2119-2012）</w:t>
            </w:r>
          </w:p>
          <w:p w14:paraId="124D57F8">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《茄果类蔬菜穴盘育苗技术规程》（NY/T2312-2013）</w:t>
            </w:r>
          </w:p>
        </w:tc>
      </w:tr>
      <w:tr w14:paraId="1715F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97" w:type="dxa"/>
            <w:vAlign w:val="center"/>
          </w:tcPr>
          <w:p w14:paraId="3CE7687A">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赛项赛场准备</w:t>
            </w:r>
          </w:p>
        </w:tc>
        <w:tc>
          <w:tcPr>
            <w:tcW w:w="11501" w:type="dxa"/>
            <w:gridSpan w:val="5"/>
            <w:vAlign w:val="center"/>
          </w:tcPr>
          <w:p w14:paraId="728B44F0">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1.场地和环境：根据参赛报名人数设置赛场工位和配套用具，占地面积约1000m</w:t>
            </w:r>
            <w:r>
              <w:rPr>
                <w:rFonts w:hint="eastAsia" w:ascii="仿宋_GB2312" w:hAnsi="宋体" w:eastAsia="仿宋_GB2312" w:cs="宋体"/>
                <w:sz w:val="24"/>
                <w:vertAlign w:val="superscript"/>
                <w:lang w:val="en-US"/>
              </w:rPr>
              <w:t>2</w:t>
            </w:r>
            <w:r>
              <w:rPr>
                <w:rFonts w:hint="eastAsia" w:ascii="仿宋_GB2312" w:hAnsi="宋体" w:eastAsia="仿宋_GB2312" w:cs="宋体"/>
                <w:sz w:val="24"/>
                <w:lang w:val="en-US"/>
              </w:rPr>
              <w:t>，设置竞赛区、服务区、技术支持区。现场保证良好的采光、照明和通风，提供稳定的水、电和供电应急设备，竞赛场地配置2.4G频段以上局域网。同时提供指导教师休息场所和竞赛观摩室。在技能操作模块，每个竞赛操作台上配有相应的材料和工具，并配有清洁工具。每个赛场需要设置至少2个备用工位，并配套竞赛材料和用具。</w:t>
            </w:r>
          </w:p>
          <w:p w14:paraId="285BAA92">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2．材料和设备：竞赛选用的营养液配制试剂和仪器、育苗材料、嫁接工具等与生产企业一致，符合学生就业岗位要求，由承办单位统一准备。每组准备材料、仪器设备如下：</w:t>
            </w:r>
          </w:p>
          <w:p w14:paraId="714DA2E5">
            <w:pPr>
              <w:pStyle w:val="10"/>
              <w:spacing w:after="0"/>
              <w:ind w:left="0" w:leftChars="0" w:firstLine="0" w:firstLineChars="0"/>
              <w:rPr>
                <w:rFonts w:hint="eastAsia" w:ascii="仿宋_GB2312" w:hAnsi="宋体" w:eastAsia="仿宋_GB2312" w:cs="宋体"/>
                <w:sz w:val="24"/>
                <w:lang w:val="en-US" w:eastAsia="en-US"/>
              </w:rPr>
            </w:pPr>
            <w:r>
              <w:rPr>
                <w:rFonts w:hint="eastAsia" w:ascii="仿宋_GB2312" w:hAnsi="宋体" w:eastAsia="仿宋_GB2312" w:cs="宋体"/>
                <w:sz w:val="24"/>
                <w:lang w:val="en-US"/>
              </w:rPr>
              <w:t>（1）</w:t>
            </w:r>
            <w:r>
              <w:rPr>
                <w:rFonts w:hint="eastAsia" w:ascii="仿宋_GB2312" w:hAnsi="宋体" w:eastAsia="仿宋_GB2312" w:cs="宋体"/>
                <w:sz w:val="24"/>
                <w:lang w:val="en-US" w:eastAsia="en-US"/>
              </w:rPr>
              <w:t>试剂</w:t>
            </w:r>
            <w:r>
              <w:rPr>
                <w:rFonts w:hint="eastAsia" w:ascii="仿宋_GB2312" w:hAnsi="宋体" w:eastAsia="仿宋_GB2312" w:cs="宋体"/>
                <w:sz w:val="24"/>
                <w:lang w:val="en-US"/>
              </w:rPr>
              <w:t>。</w:t>
            </w:r>
            <w:r>
              <w:rPr>
                <w:rFonts w:hint="eastAsia" w:ascii="仿宋_GB2312" w:hAnsi="宋体" w:eastAsia="仿宋_GB2312" w:cs="宋体"/>
                <w:sz w:val="24"/>
                <w:lang w:val="en-US" w:eastAsia="en-US"/>
              </w:rPr>
              <w:t>四水硝酸钙（Ca(NO</w:t>
            </w:r>
            <w:r>
              <w:rPr>
                <w:rFonts w:hint="eastAsia" w:ascii="仿宋_GB2312" w:hAnsi="宋体" w:eastAsia="仿宋_GB2312" w:cs="宋体"/>
                <w:sz w:val="24"/>
                <w:vertAlign w:val="subscript"/>
                <w:lang w:val="en-US" w:eastAsia="en-US"/>
              </w:rPr>
              <w:t>3</w:t>
            </w:r>
            <w:r>
              <w:rPr>
                <w:rFonts w:hint="eastAsia" w:ascii="仿宋_GB2312" w:hAnsi="宋体" w:eastAsia="仿宋_GB2312" w:cs="宋体"/>
                <w:sz w:val="24"/>
                <w:lang w:val="en-US" w:eastAsia="en-US"/>
              </w:rPr>
              <w:t>)</w:t>
            </w:r>
            <w:r>
              <w:rPr>
                <w:rFonts w:hint="eastAsia" w:ascii="仿宋_GB2312" w:hAnsi="宋体" w:eastAsia="仿宋_GB2312" w:cs="宋体"/>
                <w:sz w:val="24"/>
                <w:vertAlign w:val="subscript"/>
                <w:lang w:val="en-US" w:eastAsia="en-US"/>
              </w:rPr>
              <w:t>2</w:t>
            </w:r>
            <w:r>
              <w:rPr>
                <w:rFonts w:hint="eastAsia" w:ascii="仿宋_GB2312" w:hAnsi="宋体" w:eastAsia="仿宋_GB2312" w:cs="宋体"/>
                <w:sz w:val="24"/>
                <w:lang w:val="en-US" w:eastAsia="en-US"/>
              </w:rPr>
              <w:t>﹒4H</w:t>
            </w:r>
            <w:r>
              <w:rPr>
                <w:rFonts w:hint="eastAsia" w:ascii="仿宋_GB2312" w:hAnsi="宋体" w:eastAsia="仿宋_GB2312" w:cs="宋体"/>
                <w:sz w:val="24"/>
                <w:vertAlign w:val="subscript"/>
                <w:lang w:val="en-US" w:eastAsia="en-US"/>
              </w:rPr>
              <w:t>2</w:t>
            </w:r>
            <w:r>
              <w:rPr>
                <w:rFonts w:hint="eastAsia" w:ascii="仿宋_GB2312" w:hAnsi="宋体" w:eastAsia="仿宋_GB2312" w:cs="宋体"/>
                <w:sz w:val="24"/>
                <w:lang w:val="en-US" w:eastAsia="en-US"/>
              </w:rPr>
              <w:t>O），磷酸二氢铵（NH</w:t>
            </w:r>
            <w:r>
              <w:rPr>
                <w:rFonts w:hint="eastAsia" w:ascii="仿宋_GB2312" w:hAnsi="宋体" w:eastAsia="仿宋_GB2312" w:cs="宋体"/>
                <w:sz w:val="24"/>
                <w:vertAlign w:val="subscript"/>
                <w:lang w:val="en-US" w:eastAsia="en-US"/>
              </w:rPr>
              <w:t>4</w:t>
            </w:r>
            <w:r>
              <w:rPr>
                <w:rFonts w:hint="eastAsia" w:ascii="仿宋_GB2312" w:hAnsi="宋体" w:eastAsia="仿宋_GB2312" w:cs="宋体"/>
                <w:sz w:val="24"/>
                <w:lang w:val="en-US" w:eastAsia="en-US"/>
              </w:rPr>
              <w:t>H</w:t>
            </w:r>
            <w:r>
              <w:rPr>
                <w:rFonts w:hint="eastAsia" w:ascii="仿宋_GB2312" w:hAnsi="宋体" w:eastAsia="仿宋_GB2312" w:cs="宋体"/>
                <w:sz w:val="24"/>
                <w:vertAlign w:val="subscript"/>
                <w:lang w:val="en-US" w:eastAsia="en-US"/>
              </w:rPr>
              <w:t>2</w:t>
            </w:r>
            <w:r>
              <w:rPr>
                <w:rFonts w:hint="eastAsia" w:ascii="仿宋_GB2312" w:hAnsi="宋体" w:eastAsia="仿宋_GB2312" w:cs="宋体"/>
                <w:sz w:val="24"/>
                <w:lang w:val="en-US" w:eastAsia="en-US"/>
              </w:rPr>
              <w:t>PO</w:t>
            </w:r>
            <w:r>
              <w:rPr>
                <w:rFonts w:hint="eastAsia" w:ascii="仿宋_GB2312" w:hAnsi="宋体" w:eastAsia="仿宋_GB2312" w:cs="宋体"/>
                <w:sz w:val="24"/>
                <w:vertAlign w:val="subscript"/>
                <w:lang w:val="en-US" w:eastAsia="en-US"/>
              </w:rPr>
              <w:t>4</w:t>
            </w:r>
            <w:r>
              <w:rPr>
                <w:rFonts w:hint="eastAsia" w:ascii="仿宋_GB2312" w:hAnsi="宋体" w:eastAsia="仿宋_GB2312" w:cs="宋体"/>
                <w:sz w:val="24"/>
                <w:lang w:val="en-US" w:eastAsia="en-US"/>
              </w:rPr>
              <w:t>）、七水硫酸亚铁(FeSO</w:t>
            </w:r>
            <w:r>
              <w:rPr>
                <w:rFonts w:hint="eastAsia" w:ascii="仿宋_GB2312" w:hAnsi="宋体" w:eastAsia="仿宋_GB2312" w:cs="宋体"/>
                <w:sz w:val="24"/>
                <w:vertAlign w:val="subscript"/>
                <w:lang w:val="en-US" w:eastAsia="en-US"/>
              </w:rPr>
              <w:t>4</w:t>
            </w:r>
            <w:r>
              <w:rPr>
                <w:rFonts w:hint="eastAsia" w:ascii="仿宋_GB2312" w:hAnsi="宋体" w:eastAsia="仿宋_GB2312" w:cs="宋体"/>
                <w:sz w:val="24"/>
                <w:lang w:val="en-US" w:eastAsia="en-US"/>
              </w:rPr>
              <w:t>﹒7H</w:t>
            </w:r>
            <w:r>
              <w:rPr>
                <w:rFonts w:hint="eastAsia" w:ascii="仿宋_GB2312" w:hAnsi="宋体" w:eastAsia="仿宋_GB2312" w:cs="宋体"/>
                <w:sz w:val="24"/>
                <w:vertAlign w:val="subscript"/>
                <w:lang w:val="en-US" w:eastAsia="en-US"/>
              </w:rPr>
              <w:t>2</w:t>
            </w:r>
            <w:r>
              <w:rPr>
                <w:rFonts w:hint="eastAsia" w:ascii="仿宋_GB2312" w:hAnsi="宋体" w:eastAsia="仿宋_GB2312" w:cs="宋体"/>
                <w:sz w:val="24"/>
                <w:lang w:val="en-US" w:eastAsia="en-US"/>
              </w:rPr>
              <w:t>O) 、乙二胺四乙酸二钠(Na</w:t>
            </w:r>
            <w:r>
              <w:rPr>
                <w:rFonts w:hint="eastAsia" w:ascii="仿宋_GB2312" w:hAnsi="宋体" w:eastAsia="仿宋_GB2312" w:cs="宋体"/>
                <w:sz w:val="24"/>
                <w:vertAlign w:val="subscript"/>
                <w:lang w:val="en-US" w:eastAsia="en-US"/>
              </w:rPr>
              <w:t>2</w:t>
            </w:r>
            <w:r>
              <w:rPr>
                <w:rFonts w:hint="eastAsia" w:ascii="仿宋_GB2312" w:hAnsi="宋体" w:eastAsia="仿宋_GB2312" w:cs="宋体"/>
                <w:sz w:val="24"/>
                <w:lang w:val="en-US" w:eastAsia="en-US"/>
              </w:rPr>
              <w:t>-EDTA)、蒸馏水。</w:t>
            </w:r>
          </w:p>
          <w:p w14:paraId="0D7660E6">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（2）仪器设备。电子分析天平（感量：0.0001g）1台、电子天平（感量：0.01g）1台、500ml烧杯4个、250ml烧杯3个、100ml烧杯6个、20ml烧杯3个，500ml容量瓶3个，250ml容量瓶 3个、100ml容量瓶3个、10ml移液管3个、5ml移液管3个、2ml移液管3个、1ml移液管3个、1000ml玻璃烧杯1个（工作液稀释）、废液缸1个、废纸缸1个、胶头滴管4个、玻璃棒4根、5L笼头瓶1个（装有蒸馏水）、500ml试剂瓶3个（一个棕色）、洗瓶2个、天平刷1个、塑料药勺4个、抹布1块、称量纸1包、滤纸1包、卷纸1包、标签纸 1张、草稿纸 1张、记号笔1支、0.5mm中性笔1支、计算器1个。</w:t>
            </w:r>
          </w:p>
        </w:tc>
      </w:tr>
      <w:tr w14:paraId="50CF7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97" w:type="dxa"/>
            <w:vAlign w:val="center"/>
          </w:tcPr>
          <w:p w14:paraId="339CB72B">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注意事项</w:t>
            </w:r>
          </w:p>
        </w:tc>
        <w:tc>
          <w:tcPr>
            <w:tcW w:w="11501" w:type="dxa"/>
            <w:gridSpan w:val="5"/>
            <w:vAlign w:val="center"/>
          </w:tcPr>
          <w:p w14:paraId="1C666A40">
            <w:pPr>
              <w:pStyle w:val="10"/>
              <w:spacing w:after="0"/>
              <w:ind w:left="0" w:leftChars="0" w:firstLine="0" w:firstLineChars="0"/>
              <w:rPr>
                <w:rFonts w:hint="eastAsia" w:ascii="仿宋_GB2312" w:hAnsi="宋体" w:eastAsia="仿宋_GB2312" w:cs="宋体"/>
                <w:sz w:val="24"/>
                <w:lang w:val="en-US"/>
              </w:rPr>
            </w:pPr>
            <w:r>
              <w:rPr>
                <w:rFonts w:hint="eastAsia" w:ascii="仿宋_GB2312" w:hAnsi="宋体" w:eastAsia="仿宋_GB2312" w:cs="宋体"/>
                <w:sz w:val="24"/>
                <w:lang w:val="en-US"/>
              </w:rPr>
              <w:t>比赛时如出现停水、停电等突发事件，裁判组维持秩序，安全工作组积极调配专业电工，采取相应措施，尽快恢复供水供电。</w:t>
            </w:r>
          </w:p>
        </w:tc>
      </w:tr>
    </w:tbl>
    <w:p w14:paraId="632BFFC8">
      <w:pPr>
        <w:jc w:val="center"/>
        <w:rPr>
          <w:rFonts w:hint="eastAsia"/>
          <w:b/>
          <w:color w:val="000000"/>
          <w:sz w:val="24"/>
          <w:szCs w:val="24"/>
        </w:rPr>
      </w:pPr>
    </w:p>
    <w:p w14:paraId="3FB015CE">
      <w:pPr>
        <w:pStyle w:val="10"/>
        <w:rPr>
          <w:rFonts w:hint="eastAsia"/>
          <w:lang w:val="en-US"/>
        </w:rPr>
      </w:pPr>
    </w:p>
    <w:p w14:paraId="4CD3A29C">
      <w:pPr>
        <w:jc w:val="center"/>
        <w:rPr>
          <w:rFonts w:hint="eastAsia"/>
          <w:b/>
          <w:color w:val="000000"/>
          <w:sz w:val="28"/>
          <w:szCs w:val="28"/>
        </w:rPr>
      </w:pPr>
      <w:r>
        <w:rPr>
          <w:rFonts w:hint="eastAsia"/>
          <w:b/>
          <w:color w:val="000000"/>
          <w:sz w:val="28"/>
          <w:szCs w:val="28"/>
        </w:rPr>
        <w:t>表5 技能模块3任务分解</w:t>
      </w:r>
    </w:p>
    <w:tbl>
      <w:tblPr>
        <w:tblStyle w:val="11"/>
        <w:tblW w:w="132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38"/>
        <w:gridCol w:w="1560"/>
        <w:gridCol w:w="1559"/>
        <w:gridCol w:w="1984"/>
        <w:gridCol w:w="3969"/>
        <w:gridCol w:w="2288"/>
      </w:tblGrid>
      <w:tr w14:paraId="2FAC7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1938" w:type="dxa"/>
            <w:vAlign w:val="center"/>
          </w:tcPr>
          <w:p w14:paraId="4EB99EB1">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模块序号</w:t>
            </w:r>
          </w:p>
        </w:tc>
        <w:tc>
          <w:tcPr>
            <w:tcW w:w="3119" w:type="dxa"/>
            <w:gridSpan w:val="2"/>
            <w:vAlign w:val="center"/>
          </w:tcPr>
          <w:p w14:paraId="7C0FAFD8">
            <w:pPr>
              <w:pStyle w:val="10"/>
              <w:spacing w:after="0"/>
              <w:ind w:left="0" w:leftChars="0" w:firstLine="960" w:firstLineChars="400"/>
              <w:rPr>
                <w:rFonts w:hint="eastAsia" w:eastAsia="仿宋"/>
                <w:color w:val="000000"/>
                <w:sz w:val="24"/>
                <w:szCs w:val="24"/>
                <w:lang w:val="en-US"/>
              </w:rPr>
            </w:pPr>
            <w:r>
              <w:rPr>
                <w:rFonts w:hint="eastAsia" w:eastAsia="仿宋"/>
                <w:color w:val="000000"/>
                <w:sz w:val="24"/>
                <w:szCs w:val="24"/>
                <w:lang w:val="en-US"/>
              </w:rPr>
              <w:t>模块三</w:t>
            </w:r>
          </w:p>
        </w:tc>
        <w:tc>
          <w:tcPr>
            <w:tcW w:w="1984" w:type="dxa"/>
            <w:vAlign w:val="center"/>
          </w:tcPr>
          <w:p w14:paraId="2AD9573D">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对应赛项编号</w:t>
            </w:r>
          </w:p>
        </w:tc>
        <w:tc>
          <w:tcPr>
            <w:tcW w:w="6257" w:type="dxa"/>
            <w:gridSpan w:val="2"/>
            <w:vAlign w:val="center"/>
          </w:tcPr>
          <w:p w14:paraId="6887AFE8">
            <w:pPr>
              <w:pStyle w:val="10"/>
              <w:spacing w:after="0"/>
              <w:ind w:left="0" w:leftChars="0" w:firstLine="960" w:firstLineChars="400"/>
              <w:rPr>
                <w:rFonts w:hint="eastAsia" w:eastAsia="仿宋"/>
                <w:color w:val="000000"/>
                <w:sz w:val="24"/>
                <w:szCs w:val="24"/>
                <w:lang w:val="en-US"/>
              </w:rPr>
            </w:pPr>
            <w:r>
              <w:rPr>
                <w:rFonts w:hint="eastAsia" w:eastAsia="仿宋"/>
                <w:color w:val="000000"/>
                <w:sz w:val="24"/>
                <w:szCs w:val="24"/>
                <w:lang w:val="en-US"/>
              </w:rPr>
              <w:t>ZZ002</w:t>
            </w:r>
          </w:p>
        </w:tc>
      </w:tr>
      <w:tr w14:paraId="13E56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Align w:val="center"/>
          </w:tcPr>
          <w:p w14:paraId="711DEA02">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模块名称</w:t>
            </w:r>
          </w:p>
        </w:tc>
        <w:tc>
          <w:tcPr>
            <w:tcW w:w="3119" w:type="dxa"/>
            <w:gridSpan w:val="2"/>
            <w:vAlign w:val="center"/>
          </w:tcPr>
          <w:p w14:paraId="05B10754">
            <w:pPr>
              <w:pStyle w:val="10"/>
              <w:spacing w:after="0"/>
              <w:ind w:left="0" w:leftChars="0" w:firstLine="720" w:firstLineChars="300"/>
              <w:rPr>
                <w:rFonts w:hint="eastAsia" w:eastAsia="仿宋"/>
                <w:color w:val="000000"/>
                <w:sz w:val="24"/>
                <w:szCs w:val="24"/>
                <w:lang w:val="en-US"/>
              </w:rPr>
            </w:pPr>
            <w:r>
              <w:rPr>
                <w:rFonts w:hint="eastAsia" w:eastAsia="仿宋"/>
                <w:color w:val="000000"/>
                <w:sz w:val="24"/>
                <w:szCs w:val="24"/>
                <w:lang w:val="en-US"/>
              </w:rPr>
              <w:t>植物嫁接</w:t>
            </w:r>
          </w:p>
        </w:tc>
        <w:tc>
          <w:tcPr>
            <w:tcW w:w="1984" w:type="dxa"/>
            <w:vAlign w:val="center"/>
          </w:tcPr>
          <w:p w14:paraId="671AB6A5">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子任务数量</w:t>
            </w:r>
          </w:p>
        </w:tc>
        <w:tc>
          <w:tcPr>
            <w:tcW w:w="6257" w:type="dxa"/>
            <w:gridSpan w:val="2"/>
            <w:vAlign w:val="center"/>
          </w:tcPr>
          <w:p w14:paraId="2B779815">
            <w:pPr>
              <w:pStyle w:val="10"/>
              <w:spacing w:after="0"/>
              <w:ind w:left="0" w:leftChars="0" w:firstLine="1200" w:firstLineChars="500"/>
              <w:rPr>
                <w:rFonts w:eastAsia="仿宋"/>
                <w:color w:val="000000"/>
                <w:sz w:val="24"/>
                <w:szCs w:val="24"/>
                <w:lang w:val="en-US"/>
              </w:rPr>
            </w:pPr>
            <w:r>
              <w:rPr>
                <w:rFonts w:hint="eastAsia" w:eastAsia="仿宋"/>
                <w:color w:val="000000"/>
                <w:sz w:val="24"/>
                <w:szCs w:val="24"/>
                <w:lang w:val="en-US"/>
              </w:rPr>
              <w:t>3</w:t>
            </w:r>
          </w:p>
        </w:tc>
      </w:tr>
      <w:tr w14:paraId="06C7B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Align w:val="center"/>
          </w:tcPr>
          <w:p w14:paraId="4C25A5A3">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竞赛时间</w:t>
            </w:r>
          </w:p>
        </w:tc>
        <w:tc>
          <w:tcPr>
            <w:tcW w:w="11360" w:type="dxa"/>
            <w:gridSpan w:val="5"/>
            <w:vAlign w:val="center"/>
          </w:tcPr>
          <w:p w14:paraId="2D40A56B">
            <w:pPr>
              <w:pStyle w:val="10"/>
              <w:spacing w:after="0"/>
              <w:ind w:left="0" w:leftChars="0" w:firstLine="0" w:firstLineChars="0"/>
              <w:rPr>
                <w:rFonts w:hint="eastAsia" w:eastAsia="仿宋_GB2312"/>
                <w:color w:val="000000"/>
                <w:sz w:val="24"/>
                <w:szCs w:val="24"/>
                <w:lang w:val="en-US"/>
              </w:rPr>
            </w:pPr>
            <w:r>
              <w:rPr>
                <w:rFonts w:hint="eastAsia" w:eastAsia="仿宋"/>
                <w:color w:val="000000"/>
                <w:sz w:val="24"/>
                <w:szCs w:val="24"/>
                <w:lang w:val="en-US"/>
              </w:rPr>
              <w:t>总时间</w:t>
            </w:r>
            <w:r>
              <w:rPr>
                <w:rFonts w:hint="eastAsia" w:eastAsia="仿宋"/>
                <w:color w:val="000000"/>
                <w:sz w:val="24"/>
                <w:szCs w:val="24"/>
                <w:lang w:val="en-US" w:eastAsia="zh-CN"/>
              </w:rPr>
              <w:t>90</w:t>
            </w:r>
            <w:r>
              <w:rPr>
                <w:rFonts w:hint="eastAsia" w:eastAsia="仿宋"/>
                <w:color w:val="000000"/>
                <w:sz w:val="24"/>
                <w:szCs w:val="24"/>
                <w:lang w:val="en-US"/>
              </w:rPr>
              <w:t>分钟，其中准备</w:t>
            </w:r>
            <w:r>
              <w:rPr>
                <w:rFonts w:hint="eastAsia" w:eastAsia="仿宋"/>
                <w:color w:val="000000"/>
                <w:sz w:val="24"/>
                <w:szCs w:val="24"/>
                <w:lang w:val="en-US" w:eastAsia="zh-CN"/>
              </w:rPr>
              <w:t>2</w:t>
            </w:r>
            <w:r>
              <w:rPr>
                <w:rFonts w:hint="eastAsia" w:eastAsia="仿宋"/>
                <w:color w:val="000000"/>
                <w:sz w:val="24"/>
                <w:szCs w:val="24"/>
                <w:lang w:val="en-US"/>
              </w:rPr>
              <w:t>0分钟、实施</w:t>
            </w:r>
            <w:r>
              <w:rPr>
                <w:rFonts w:hint="eastAsia" w:eastAsia="仿宋"/>
                <w:color w:val="000000"/>
                <w:sz w:val="24"/>
                <w:szCs w:val="24"/>
                <w:lang w:val="en-US" w:eastAsia="zh-CN"/>
              </w:rPr>
              <w:t>7</w:t>
            </w:r>
            <w:r>
              <w:rPr>
                <w:rFonts w:hint="eastAsia" w:eastAsia="仿宋"/>
                <w:color w:val="000000"/>
                <w:sz w:val="24"/>
                <w:szCs w:val="24"/>
                <w:lang w:val="en-US"/>
              </w:rPr>
              <w:t>0分钟</w:t>
            </w:r>
          </w:p>
        </w:tc>
      </w:tr>
      <w:tr w14:paraId="084D1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Align w:val="center"/>
          </w:tcPr>
          <w:p w14:paraId="7C5BB823">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任务描述</w:t>
            </w:r>
          </w:p>
        </w:tc>
        <w:tc>
          <w:tcPr>
            <w:tcW w:w="11360" w:type="dxa"/>
            <w:gridSpan w:val="5"/>
            <w:vAlign w:val="center"/>
          </w:tcPr>
          <w:p w14:paraId="00A272D0">
            <w:pPr>
              <w:pStyle w:val="2"/>
              <w:adjustRightInd w:val="0"/>
              <w:snapToGrid w:val="0"/>
              <w:spacing w:line="360" w:lineRule="auto"/>
              <w:rPr>
                <w:rFonts w:hint="eastAsia" w:ascii="仿宋_GB2312" w:hAnsi="Calibri" w:eastAsia="仿宋_GB2312" w:cs="Times New Roman"/>
                <w:spacing w:val="4"/>
                <w:sz w:val="24"/>
                <w:szCs w:val="24"/>
              </w:rPr>
            </w:pPr>
            <w:r>
              <w:rPr>
                <w:rFonts w:hint="eastAsia" w:ascii="仿宋_GB2312" w:eastAsia="仿宋_GB2312" w:cs="Times New Roman"/>
                <w:spacing w:val="4"/>
                <w:sz w:val="24"/>
                <w:szCs w:val="24"/>
                <w:lang w:val="en-US" w:eastAsia="zh-CN"/>
              </w:rPr>
              <w:t>1</w:t>
            </w:r>
            <w:r>
              <w:rPr>
                <w:rFonts w:hint="eastAsia" w:ascii="仿宋_GB2312" w:eastAsia="仿宋_GB2312" w:cs="Times New Roman"/>
                <w:spacing w:val="4"/>
                <w:sz w:val="24"/>
                <w:szCs w:val="24"/>
              </w:rPr>
              <w:t>.茄子劈接操作。</w:t>
            </w:r>
            <w:r>
              <w:rPr>
                <w:rFonts w:hint="eastAsia" w:ascii="仿宋_GB2312" w:hAnsi="Calibri" w:eastAsia="仿宋_GB2312" w:cs="Times New Roman"/>
                <w:spacing w:val="4"/>
                <w:sz w:val="24"/>
                <w:szCs w:val="24"/>
              </w:rPr>
              <w:t>在规定的</w:t>
            </w:r>
            <w:r>
              <w:rPr>
                <w:rFonts w:hint="eastAsia" w:ascii="仿宋_GB2312" w:hAnsi="Calibri" w:eastAsia="仿宋_GB2312" w:cs="Times New Roman"/>
                <w:spacing w:val="4"/>
                <w:sz w:val="24"/>
                <w:szCs w:val="24"/>
                <w:lang w:val="en-US" w:eastAsia="zh-CN"/>
              </w:rPr>
              <w:t>2</w:t>
            </w:r>
            <w:r>
              <w:rPr>
                <w:rFonts w:hint="eastAsia" w:ascii="仿宋_GB2312" w:hAnsi="Calibri" w:eastAsia="仿宋_GB2312" w:cs="Times New Roman"/>
                <w:spacing w:val="4"/>
                <w:sz w:val="24"/>
                <w:szCs w:val="24"/>
              </w:rPr>
              <w:t>0分钟时间内，分别完成茄子劈接；</w:t>
            </w:r>
          </w:p>
          <w:p w14:paraId="3A2D9236">
            <w:pPr>
              <w:pStyle w:val="2"/>
              <w:adjustRightInd w:val="0"/>
              <w:snapToGrid w:val="0"/>
              <w:spacing w:line="360" w:lineRule="auto"/>
              <w:rPr>
                <w:rFonts w:hint="eastAsia" w:ascii="仿宋_GB2312" w:hAnsi="Calibri" w:eastAsia="仿宋_GB2312" w:cs="Times New Roman"/>
                <w:spacing w:val="4"/>
                <w:sz w:val="24"/>
                <w:szCs w:val="24"/>
              </w:rPr>
            </w:pPr>
            <w:r>
              <w:rPr>
                <w:rFonts w:hint="eastAsia" w:ascii="仿宋_GB2312" w:hAnsi="Calibri" w:eastAsia="仿宋_GB2312" w:cs="Times New Roman"/>
                <w:spacing w:val="4"/>
                <w:sz w:val="24"/>
                <w:szCs w:val="24"/>
                <w:lang w:val="en-US" w:eastAsia="zh-CN"/>
              </w:rPr>
              <w:t>2</w:t>
            </w:r>
            <w:r>
              <w:rPr>
                <w:rFonts w:hint="eastAsia" w:ascii="仿宋_GB2312" w:hAnsi="Calibri" w:eastAsia="仿宋_GB2312" w:cs="Times New Roman"/>
                <w:spacing w:val="4"/>
                <w:sz w:val="24"/>
                <w:szCs w:val="24"/>
              </w:rPr>
              <w:t>.黄瓜顶端插接操作。在规定的</w:t>
            </w:r>
            <w:r>
              <w:rPr>
                <w:rFonts w:hint="eastAsia" w:ascii="仿宋_GB2312" w:hAnsi="Calibri" w:eastAsia="仿宋_GB2312" w:cs="Times New Roman"/>
                <w:spacing w:val="4"/>
                <w:sz w:val="24"/>
                <w:szCs w:val="24"/>
                <w:lang w:val="en-US" w:eastAsia="zh-CN"/>
              </w:rPr>
              <w:t>2</w:t>
            </w:r>
            <w:r>
              <w:rPr>
                <w:rFonts w:hint="eastAsia" w:ascii="仿宋_GB2312" w:hAnsi="Calibri" w:eastAsia="仿宋_GB2312" w:cs="Times New Roman"/>
                <w:spacing w:val="4"/>
                <w:sz w:val="24"/>
                <w:szCs w:val="24"/>
              </w:rPr>
              <w:t>0分钟时间内，分别完成</w:t>
            </w:r>
            <w:r>
              <w:rPr>
                <w:rFonts w:hint="eastAsia" w:ascii="仿宋_GB2312" w:hAnsi="Calibri" w:eastAsia="仿宋_GB2312" w:cs="Times New Roman"/>
                <w:spacing w:val="4"/>
                <w:sz w:val="24"/>
                <w:szCs w:val="24"/>
                <w:lang w:val="en-US" w:eastAsia="zh-CN"/>
              </w:rPr>
              <w:t>黄瓜顶端插接</w:t>
            </w:r>
            <w:r>
              <w:rPr>
                <w:rFonts w:hint="eastAsia" w:ascii="仿宋_GB2312" w:hAnsi="Calibri" w:eastAsia="仿宋_GB2312" w:cs="Times New Roman"/>
                <w:spacing w:val="4"/>
                <w:sz w:val="24"/>
                <w:szCs w:val="24"/>
                <w:lang w:eastAsia="zh-CN"/>
              </w:rPr>
              <w:t>；</w:t>
            </w:r>
          </w:p>
          <w:p w14:paraId="33531735">
            <w:pPr>
              <w:pStyle w:val="2"/>
              <w:adjustRightInd w:val="0"/>
              <w:snapToGrid w:val="0"/>
              <w:spacing w:line="360" w:lineRule="auto"/>
              <w:rPr>
                <w:rFonts w:hint="eastAsia" w:ascii="仿宋_GB2312" w:hAnsi="Calibri" w:eastAsia="仿宋_GB2312" w:cs="Times New Roman"/>
                <w:spacing w:val="4"/>
                <w:sz w:val="24"/>
                <w:szCs w:val="24"/>
                <w:lang w:val="en-US" w:eastAsia="zh-CN"/>
              </w:rPr>
            </w:pPr>
            <w:r>
              <w:rPr>
                <w:rFonts w:hint="eastAsia" w:ascii="仿宋_GB2312" w:hAnsi="Calibri" w:eastAsia="仿宋_GB2312" w:cs="Times New Roman"/>
                <w:spacing w:val="4"/>
                <w:sz w:val="24"/>
                <w:szCs w:val="24"/>
                <w:lang w:val="en-US" w:eastAsia="zh-CN"/>
              </w:rPr>
              <w:t>3.</w:t>
            </w:r>
            <w:r>
              <w:rPr>
                <w:rFonts w:hint="eastAsia" w:ascii="仿宋_GB2312" w:eastAsia="仿宋_GB2312"/>
                <w:spacing w:val="4"/>
                <w:sz w:val="24"/>
                <w:szCs w:val="24"/>
                <w:lang w:eastAsia="zh-CN"/>
              </w:rPr>
              <w:t>嫁接后管理。</w:t>
            </w:r>
            <w:r>
              <w:rPr>
                <w:rFonts w:hint="eastAsia" w:ascii="仿宋_GB2312" w:eastAsia="仿宋_GB2312"/>
                <w:spacing w:val="4"/>
                <w:sz w:val="24"/>
                <w:szCs w:val="24"/>
              </w:rPr>
              <w:t>在规定的</w:t>
            </w:r>
            <w:r>
              <w:rPr>
                <w:rFonts w:ascii="Calibri" w:hAnsi="Calibri" w:eastAsia="仿宋_GB2312" w:cs="Calibri"/>
                <w:spacing w:val="4"/>
                <w:sz w:val="24"/>
                <w:szCs w:val="24"/>
              </w:rPr>
              <w:t>3</w:t>
            </w:r>
            <w:r>
              <w:rPr>
                <w:rFonts w:hint="eastAsia" w:ascii="仿宋_GB2312" w:eastAsia="仿宋_GB2312"/>
                <w:spacing w:val="4"/>
                <w:sz w:val="24"/>
                <w:szCs w:val="24"/>
              </w:rPr>
              <w:t>0分钟时间内</w:t>
            </w:r>
            <w:r>
              <w:rPr>
                <w:rFonts w:hint="eastAsia" w:ascii="仿宋_GB2312" w:eastAsia="仿宋_GB2312"/>
                <w:spacing w:val="4"/>
                <w:sz w:val="24"/>
                <w:szCs w:val="24"/>
                <w:lang w:eastAsia="zh-CN"/>
              </w:rPr>
              <w:t>，</w:t>
            </w:r>
            <w:r>
              <w:rPr>
                <w:rFonts w:hint="eastAsia" w:ascii="仿宋_GB2312" w:eastAsia="仿宋_GB2312"/>
                <w:spacing w:val="4"/>
                <w:sz w:val="24"/>
                <w:szCs w:val="24"/>
              </w:rPr>
              <w:t>采用竞赛平台软件和设备，</w:t>
            </w:r>
            <w:r>
              <w:rPr>
                <w:rFonts w:hint="eastAsia" w:ascii="仿宋_GB2312" w:eastAsia="仿宋_GB2312"/>
                <w:spacing w:val="4"/>
                <w:sz w:val="24"/>
                <w:szCs w:val="24"/>
                <w:lang w:val="en-US" w:eastAsia="zh-CN"/>
              </w:rPr>
              <w:t>模拟完成</w:t>
            </w:r>
            <w:r>
              <w:rPr>
                <w:rFonts w:hint="eastAsia" w:ascii="仿宋_GB2312" w:eastAsia="仿宋_GB2312"/>
                <w:spacing w:val="4"/>
                <w:sz w:val="24"/>
                <w:szCs w:val="24"/>
              </w:rPr>
              <w:t>调控苗床小气候</w:t>
            </w:r>
            <w:r>
              <w:rPr>
                <w:rFonts w:hint="eastAsia" w:ascii="___WRD_EMBED_SUB_41" w:hAnsi="___WRD_EMBED_SUB_41" w:eastAsia="___WRD_EMBED_SUB_41" w:cs="___WRD_EMBED_SUB_41"/>
                <w:spacing w:val="4"/>
                <w:sz w:val="24"/>
                <w:szCs w:val="24"/>
              </w:rPr>
              <w:t>环境</w:t>
            </w:r>
            <w:r>
              <w:rPr>
                <w:rFonts w:hint="eastAsia" w:ascii="仿宋_GB2312" w:eastAsia="仿宋_GB2312"/>
                <w:spacing w:val="4"/>
                <w:sz w:val="24"/>
                <w:szCs w:val="24"/>
              </w:rPr>
              <w:t>，促进砧穗迅速愈合，嫁接苗健壮生长</w:t>
            </w:r>
            <w:r>
              <w:rPr>
                <w:rFonts w:hint="eastAsia" w:ascii="仿宋_GB2312" w:eastAsia="仿宋_GB2312"/>
                <w:spacing w:val="4"/>
                <w:sz w:val="24"/>
                <w:szCs w:val="24"/>
                <w:lang w:eastAsia="zh-CN"/>
              </w:rPr>
              <w:t>。</w:t>
            </w:r>
          </w:p>
        </w:tc>
      </w:tr>
      <w:tr w14:paraId="42322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Align w:val="center"/>
          </w:tcPr>
          <w:p w14:paraId="14E48923">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职业要素</w:t>
            </w:r>
          </w:p>
        </w:tc>
        <w:tc>
          <w:tcPr>
            <w:tcW w:w="11360" w:type="dxa"/>
            <w:gridSpan w:val="5"/>
            <w:vAlign w:val="center"/>
          </w:tcPr>
          <w:p w14:paraId="6DC8759A">
            <w:pPr>
              <w:pStyle w:val="10"/>
              <w:spacing w:after="0"/>
              <w:ind w:left="0" w:leftChars="0" w:firstLine="0" w:firstLineChars="0"/>
              <w:rPr>
                <w:rFonts w:eastAsia="仿宋"/>
                <w:color w:val="000000"/>
                <w:sz w:val="24"/>
                <w:szCs w:val="24"/>
                <w:lang w:val="en-US"/>
              </w:rPr>
            </w:pPr>
            <w:r>
              <w:rPr>
                <w:rFonts w:hint="eastAsia" w:eastAsia="仿宋"/>
                <w:color w:val="000000"/>
                <w:sz w:val="24"/>
                <w:szCs w:val="24"/>
                <w:lang w:val="en-US"/>
              </w:rPr>
              <w:sym w:font="Wingdings 2" w:char="0052"/>
            </w:r>
            <w:r>
              <w:rPr>
                <w:rFonts w:hint="eastAsia" w:eastAsia="仿宋"/>
                <w:color w:val="000000"/>
                <w:sz w:val="24"/>
                <w:szCs w:val="24"/>
                <w:lang w:val="en-US"/>
              </w:rPr>
              <w:t xml:space="preserve">基本专业素养  </w:t>
            </w:r>
            <w:r>
              <w:rPr>
                <w:rFonts w:hint="eastAsia" w:eastAsia="仿宋"/>
                <w:color w:val="000000"/>
                <w:sz w:val="24"/>
                <w:szCs w:val="24"/>
                <w:lang w:val="en-US"/>
              </w:rPr>
              <w:sym w:font="Wingdings 2" w:char="0052"/>
            </w:r>
            <w:r>
              <w:rPr>
                <w:rFonts w:hint="eastAsia" w:eastAsia="仿宋"/>
                <w:color w:val="000000"/>
                <w:sz w:val="24"/>
                <w:szCs w:val="24"/>
                <w:lang w:val="en-US"/>
              </w:rPr>
              <w:t xml:space="preserve">专业实践技能 </w:t>
            </w:r>
            <w:r>
              <w:rPr>
                <w:rFonts w:hint="eastAsia" w:eastAsia="仿宋"/>
                <w:color w:val="000000"/>
                <w:sz w:val="24"/>
                <w:szCs w:val="24"/>
                <w:lang w:val="en-US"/>
              </w:rPr>
              <w:sym w:font="Wingdings 2" w:char="0052"/>
            </w:r>
            <w:r>
              <w:rPr>
                <w:rFonts w:hint="eastAsia" w:eastAsia="仿宋"/>
                <w:color w:val="000000"/>
                <w:sz w:val="24"/>
                <w:szCs w:val="24"/>
                <w:lang w:val="en-US"/>
              </w:rPr>
              <w:t xml:space="preserve">协调协作能力 </w:t>
            </w:r>
            <w:r>
              <w:rPr>
                <w:rFonts w:hint="eastAsia" w:eastAsia="仿宋"/>
                <w:color w:val="000000"/>
                <w:sz w:val="24"/>
                <w:szCs w:val="24"/>
                <w:lang w:val="en-US"/>
              </w:rPr>
              <w:sym w:font="Wingdings 2" w:char="0052"/>
            </w:r>
            <w:r>
              <w:rPr>
                <w:rFonts w:hint="eastAsia" w:eastAsia="仿宋"/>
                <w:color w:val="000000"/>
                <w:sz w:val="24"/>
                <w:szCs w:val="24"/>
                <w:lang w:val="en-US"/>
              </w:rPr>
              <w:t>持续发展能力</w:t>
            </w:r>
          </w:p>
        </w:tc>
      </w:tr>
      <w:tr w14:paraId="7D001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Merge w:val="restart"/>
            <w:vAlign w:val="center"/>
          </w:tcPr>
          <w:p w14:paraId="5FA7FF62">
            <w:pPr>
              <w:pStyle w:val="10"/>
              <w:adjustRightInd w:val="0"/>
              <w:snapToGrid w:val="0"/>
              <w:spacing w:after="0"/>
              <w:ind w:left="0" w:leftChars="0" w:firstLine="0" w:firstLineChars="0"/>
              <w:jc w:val="center"/>
              <w:rPr>
                <w:rFonts w:hint="eastAsia" w:eastAsia="仿宋"/>
                <w:b/>
                <w:color w:val="000000"/>
                <w:sz w:val="24"/>
                <w:szCs w:val="24"/>
                <w:lang w:val="en-US"/>
              </w:rPr>
            </w:pPr>
          </w:p>
          <w:p w14:paraId="45B00B3C">
            <w:pPr>
              <w:pStyle w:val="10"/>
              <w:adjustRightInd w:val="0"/>
              <w:snapToGrid w:val="0"/>
              <w:spacing w:after="0"/>
              <w:ind w:left="0" w:leftChars="0" w:firstLine="0" w:firstLineChars="0"/>
              <w:jc w:val="center"/>
              <w:rPr>
                <w:rFonts w:hint="eastAsia" w:eastAsia="仿宋"/>
                <w:b/>
                <w:color w:val="000000"/>
                <w:sz w:val="24"/>
                <w:szCs w:val="24"/>
                <w:lang w:val="en-US"/>
              </w:rPr>
            </w:pPr>
          </w:p>
          <w:p w14:paraId="3E41F78B">
            <w:pPr>
              <w:pStyle w:val="10"/>
              <w:adjustRightInd w:val="0"/>
              <w:snapToGrid w:val="0"/>
              <w:spacing w:after="0"/>
              <w:ind w:left="0" w:leftChars="0" w:firstLine="0" w:firstLineChars="0"/>
              <w:jc w:val="center"/>
              <w:rPr>
                <w:rFonts w:hint="eastAsia" w:eastAsia="仿宋"/>
                <w:b/>
                <w:color w:val="000000"/>
                <w:sz w:val="24"/>
                <w:szCs w:val="24"/>
                <w:lang w:val="en-US"/>
              </w:rPr>
            </w:pPr>
          </w:p>
          <w:p w14:paraId="126ECEB4">
            <w:pPr>
              <w:pStyle w:val="10"/>
              <w:adjustRightInd w:val="0"/>
              <w:snapToGrid w:val="0"/>
              <w:spacing w:after="0"/>
              <w:ind w:left="0" w:leftChars="0" w:firstLine="0" w:firstLineChars="0"/>
              <w:jc w:val="center"/>
              <w:rPr>
                <w:rFonts w:hint="eastAsia" w:eastAsia="仿宋"/>
                <w:b/>
                <w:color w:val="000000"/>
                <w:sz w:val="24"/>
                <w:szCs w:val="24"/>
                <w:lang w:val="en-US"/>
              </w:rPr>
            </w:pPr>
          </w:p>
          <w:p w14:paraId="6B84973A">
            <w:pPr>
              <w:pStyle w:val="10"/>
              <w:adjustRightInd w:val="0"/>
              <w:snapToGrid w:val="0"/>
              <w:spacing w:after="0"/>
              <w:ind w:left="0" w:leftChars="0" w:firstLine="0" w:firstLineChars="0"/>
              <w:jc w:val="center"/>
              <w:rPr>
                <w:rFonts w:hint="eastAsia" w:eastAsia="仿宋"/>
                <w:b/>
                <w:color w:val="000000"/>
                <w:sz w:val="24"/>
                <w:szCs w:val="24"/>
                <w:lang w:val="en-US"/>
              </w:rPr>
            </w:pPr>
          </w:p>
          <w:p w14:paraId="26411FE2">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具体任务要求</w:t>
            </w:r>
          </w:p>
        </w:tc>
        <w:tc>
          <w:tcPr>
            <w:tcW w:w="1560" w:type="dxa"/>
            <w:vAlign w:val="center"/>
          </w:tcPr>
          <w:p w14:paraId="460C8370">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子任务序号</w:t>
            </w:r>
          </w:p>
        </w:tc>
        <w:tc>
          <w:tcPr>
            <w:tcW w:w="1559" w:type="dxa"/>
            <w:vAlign w:val="center"/>
          </w:tcPr>
          <w:p w14:paraId="7A2720E4">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任务要求</w:t>
            </w:r>
          </w:p>
        </w:tc>
        <w:tc>
          <w:tcPr>
            <w:tcW w:w="1984" w:type="dxa"/>
            <w:vAlign w:val="center"/>
          </w:tcPr>
          <w:p w14:paraId="08BE98A5">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操作过程</w:t>
            </w:r>
          </w:p>
        </w:tc>
        <w:tc>
          <w:tcPr>
            <w:tcW w:w="3969" w:type="dxa"/>
            <w:vAlign w:val="center"/>
          </w:tcPr>
          <w:p w14:paraId="728EE718">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考核点</w:t>
            </w:r>
          </w:p>
        </w:tc>
        <w:tc>
          <w:tcPr>
            <w:tcW w:w="2288" w:type="dxa"/>
            <w:vAlign w:val="center"/>
          </w:tcPr>
          <w:p w14:paraId="66F97873">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评价标准</w:t>
            </w:r>
          </w:p>
        </w:tc>
      </w:tr>
      <w:tr w14:paraId="59A72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Merge w:val="continue"/>
            <w:vAlign w:val="center"/>
          </w:tcPr>
          <w:p w14:paraId="5EC54A1B">
            <w:pPr>
              <w:pStyle w:val="10"/>
              <w:adjustRightInd w:val="0"/>
              <w:snapToGrid w:val="0"/>
              <w:spacing w:after="0"/>
              <w:ind w:left="0" w:leftChars="0" w:firstLine="0" w:firstLineChars="0"/>
              <w:jc w:val="center"/>
              <w:rPr>
                <w:rFonts w:hint="eastAsia" w:eastAsia="仿宋"/>
                <w:b/>
                <w:color w:val="000000"/>
                <w:sz w:val="24"/>
                <w:szCs w:val="24"/>
                <w:lang w:val="en-US"/>
              </w:rPr>
            </w:pPr>
          </w:p>
        </w:tc>
        <w:tc>
          <w:tcPr>
            <w:tcW w:w="1560" w:type="dxa"/>
            <w:vAlign w:val="center"/>
          </w:tcPr>
          <w:p w14:paraId="3BCAADA3">
            <w:pPr>
              <w:pStyle w:val="10"/>
              <w:spacing w:after="0"/>
              <w:ind w:left="0" w:leftChars="0" w:firstLine="0" w:firstLineChars="0"/>
              <w:rPr>
                <w:rFonts w:hint="eastAsia" w:eastAsia="仿宋"/>
                <w:color w:val="000000"/>
                <w:sz w:val="24"/>
                <w:szCs w:val="24"/>
                <w:lang w:val="en-US" w:eastAsia="zh-CN"/>
              </w:rPr>
            </w:pPr>
            <w:r>
              <w:rPr>
                <w:rFonts w:hint="eastAsia" w:eastAsia="仿宋"/>
                <w:color w:val="000000"/>
                <w:sz w:val="24"/>
                <w:szCs w:val="24"/>
                <w:lang w:val="en-US"/>
              </w:rPr>
              <w:t>子任务1-</w:t>
            </w:r>
            <w:r>
              <w:rPr>
                <w:rFonts w:hint="eastAsia" w:eastAsia="仿宋"/>
                <w:color w:val="000000"/>
                <w:sz w:val="24"/>
                <w:szCs w:val="24"/>
                <w:lang w:val="en-US" w:eastAsia="zh-CN"/>
              </w:rPr>
              <w:t>1</w:t>
            </w:r>
          </w:p>
        </w:tc>
        <w:tc>
          <w:tcPr>
            <w:tcW w:w="1559" w:type="dxa"/>
            <w:vAlign w:val="center"/>
          </w:tcPr>
          <w:p w14:paraId="642735FD">
            <w:pPr>
              <w:spacing w:line="360" w:lineRule="auto"/>
              <w:rPr>
                <w:rFonts w:hint="eastAsia" w:ascii="仿宋_GB2312" w:hAnsi="Calibri" w:eastAsia="仿宋_GB2312" w:cs="Times New Roman"/>
                <w:sz w:val="24"/>
                <w:szCs w:val="24"/>
              </w:rPr>
            </w:pPr>
            <w:r>
              <w:rPr>
                <w:rFonts w:hint="eastAsia" w:ascii="仿宋_GB2312" w:eastAsia="仿宋_GB2312"/>
                <w:spacing w:val="4"/>
                <w:sz w:val="24"/>
                <w:szCs w:val="24"/>
              </w:rPr>
              <w:t>茄子劈接</w:t>
            </w:r>
          </w:p>
        </w:tc>
        <w:tc>
          <w:tcPr>
            <w:tcW w:w="1984" w:type="dxa"/>
            <w:vAlign w:val="center"/>
          </w:tcPr>
          <w:p w14:paraId="20CEFBE1">
            <w:pPr>
              <w:pStyle w:val="10"/>
              <w:spacing w:after="0" w:line="400" w:lineRule="exact"/>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1.工具消毒；</w:t>
            </w:r>
          </w:p>
          <w:p w14:paraId="55980B10">
            <w:pPr>
              <w:pStyle w:val="10"/>
              <w:spacing w:after="0" w:line="400" w:lineRule="exact"/>
              <w:ind w:left="0" w:leftChars="0" w:firstLine="0" w:firstLineChars="0"/>
              <w:rPr>
                <w:rFonts w:hint="eastAsia" w:eastAsia="仿宋"/>
                <w:color w:val="000000"/>
                <w:sz w:val="24"/>
                <w:szCs w:val="24"/>
                <w:lang w:val="en-US"/>
              </w:rPr>
            </w:pPr>
            <w:r>
              <w:rPr>
                <w:rFonts w:hint="eastAsia" w:ascii="仿宋_GB2312" w:hAnsi="宋体" w:eastAsia="仿宋_GB2312" w:cs="宋体"/>
                <w:sz w:val="24"/>
              </w:rPr>
              <w:t>2.砧木处理；</w:t>
            </w:r>
          </w:p>
          <w:p w14:paraId="11616F0C">
            <w:pPr>
              <w:pStyle w:val="10"/>
              <w:spacing w:after="0" w:line="400" w:lineRule="exact"/>
              <w:ind w:left="0" w:leftChars="0" w:firstLine="0" w:firstLineChars="0"/>
              <w:rPr>
                <w:rFonts w:hint="eastAsia" w:eastAsia="仿宋"/>
                <w:color w:val="000000"/>
                <w:sz w:val="24"/>
                <w:szCs w:val="24"/>
                <w:lang w:val="en-US"/>
              </w:rPr>
            </w:pPr>
            <w:r>
              <w:rPr>
                <w:rFonts w:hint="eastAsia" w:ascii="仿宋_GB2312" w:hAnsi="宋体" w:eastAsia="仿宋_GB2312" w:cs="宋体"/>
                <w:sz w:val="24"/>
              </w:rPr>
              <w:t>3.接穗处理；</w:t>
            </w:r>
          </w:p>
          <w:p w14:paraId="593FD449">
            <w:pPr>
              <w:pStyle w:val="10"/>
              <w:spacing w:after="0" w:line="400" w:lineRule="exact"/>
              <w:ind w:left="0" w:leftChars="0" w:firstLine="0" w:firstLineChars="0"/>
              <w:rPr>
                <w:rFonts w:hint="eastAsia" w:eastAsia="仿宋"/>
                <w:color w:val="000000"/>
                <w:sz w:val="24"/>
                <w:szCs w:val="24"/>
                <w:lang w:val="en-US"/>
              </w:rPr>
            </w:pPr>
            <w:r>
              <w:rPr>
                <w:rFonts w:hint="eastAsia" w:ascii="仿宋_GB2312" w:hAnsi="宋体" w:eastAsia="仿宋_GB2312" w:cs="宋体"/>
                <w:sz w:val="24"/>
                <w:lang w:val="en-US"/>
              </w:rPr>
              <w:t>4.</w:t>
            </w:r>
            <w:r>
              <w:rPr>
                <w:rFonts w:hint="eastAsia" w:ascii="仿宋_GB2312" w:hAnsi="宋体" w:eastAsia="仿宋_GB2312" w:cs="宋体"/>
                <w:sz w:val="24"/>
              </w:rPr>
              <w:t>接合固定</w:t>
            </w:r>
            <w:r>
              <w:rPr>
                <w:rFonts w:hint="eastAsia" w:ascii="仿宋_GB2312" w:hAnsi="宋体" w:eastAsia="仿宋_GB2312" w:cs="宋体"/>
                <w:sz w:val="24"/>
                <w:lang w:val="en-US"/>
              </w:rPr>
              <w:t>；</w:t>
            </w:r>
          </w:p>
          <w:p w14:paraId="257CCD49">
            <w:pPr>
              <w:pStyle w:val="10"/>
              <w:spacing w:after="0" w:line="400" w:lineRule="exact"/>
              <w:ind w:left="0" w:leftChars="0" w:firstLine="0" w:firstLineChars="0"/>
              <w:rPr>
                <w:rFonts w:hint="eastAsia" w:eastAsia="仿宋"/>
                <w:color w:val="000000"/>
                <w:sz w:val="24"/>
                <w:szCs w:val="24"/>
                <w:lang w:val="en-US"/>
              </w:rPr>
            </w:pPr>
            <w:r>
              <w:rPr>
                <w:rFonts w:hint="eastAsia" w:ascii="仿宋_GB2312" w:hAnsi="宋体" w:eastAsia="仿宋_GB2312" w:cs="宋体"/>
                <w:sz w:val="24"/>
                <w:lang w:val="en-US"/>
              </w:rPr>
              <w:t>5.</w:t>
            </w:r>
            <w:r>
              <w:rPr>
                <w:rFonts w:hint="eastAsia" w:ascii="仿宋_GB2312" w:hAnsi="宋体" w:eastAsia="仿宋_GB2312" w:cs="宋体"/>
                <w:sz w:val="24"/>
              </w:rPr>
              <w:t>整理工位。</w:t>
            </w:r>
          </w:p>
        </w:tc>
        <w:tc>
          <w:tcPr>
            <w:tcW w:w="3969" w:type="dxa"/>
            <w:vAlign w:val="center"/>
          </w:tcPr>
          <w:p w14:paraId="0F0C483B">
            <w:pPr>
              <w:pStyle w:val="10"/>
              <w:spacing w:after="0" w:line="400" w:lineRule="exact"/>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1.用</w:t>
            </w:r>
            <w:r>
              <w:rPr>
                <w:rFonts w:hint="eastAsia" w:ascii="仿宋_GB2312" w:eastAsia="仿宋_GB2312"/>
                <w:sz w:val="24"/>
              </w:rPr>
              <w:t>75%</w:t>
            </w:r>
            <w:r>
              <w:rPr>
                <w:rFonts w:hint="eastAsia" w:ascii="仿宋_GB2312" w:hAnsi="宋体" w:eastAsia="仿宋_GB2312" w:cs="宋体"/>
                <w:sz w:val="24"/>
              </w:rPr>
              <w:t>的酒精棉球消毒。在嫁接新一盘苗前需重复以上消毒操作。</w:t>
            </w:r>
          </w:p>
          <w:p w14:paraId="380B8DB4">
            <w:pPr>
              <w:pStyle w:val="10"/>
              <w:spacing w:after="0" w:line="400" w:lineRule="exact"/>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2.用刀片将砧木苗茎从第</w:t>
            </w:r>
            <w:r>
              <w:rPr>
                <w:rFonts w:hint="eastAsia" w:ascii="仿宋_GB2312" w:eastAsia="仿宋_GB2312"/>
                <w:sz w:val="24"/>
              </w:rPr>
              <w:t>2</w:t>
            </w:r>
            <w:r>
              <w:rPr>
                <w:rFonts w:hint="eastAsia" w:ascii="仿宋_GB2312" w:hAnsi="宋体" w:eastAsia="仿宋_GB2312" w:cs="宋体"/>
                <w:sz w:val="24"/>
              </w:rPr>
              <w:t>～</w:t>
            </w:r>
            <w:r>
              <w:rPr>
                <w:rFonts w:hint="eastAsia" w:ascii="仿宋_GB2312" w:eastAsia="仿宋_GB2312"/>
                <w:sz w:val="24"/>
              </w:rPr>
              <w:t>3</w:t>
            </w:r>
            <w:r>
              <w:rPr>
                <w:rFonts w:hint="eastAsia" w:ascii="仿宋_GB2312" w:hAnsi="宋体" w:eastAsia="仿宋_GB2312" w:cs="宋体"/>
                <w:sz w:val="24"/>
              </w:rPr>
              <w:t>片真叶之间水平切断，去除切口以下所有叶片。用刀片在砧木断面中央垂直向下切出长</w:t>
            </w:r>
            <w:r>
              <w:rPr>
                <w:rFonts w:hint="eastAsia" w:ascii="仿宋_GB2312" w:eastAsia="仿宋_GB2312"/>
                <w:sz w:val="24"/>
              </w:rPr>
              <w:t>0.8</w:t>
            </w:r>
            <w:r>
              <w:rPr>
                <w:rFonts w:hint="eastAsia" w:ascii="仿宋_GB2312" w:hAnsi="宋体" w:eastAsia="仿宋_GB2312" w:cs="宋体"/>
                <w:sz w:val="24"/>
              </w:rPr>
              <w:t>～</w:t>
            </w:r>
            <w:r>
              <w:rPr>
                <w:rFonts w:hint="eastAsia" w:ascii="仿宋_GB2312" w:eastAsia="仿宋_GB2312"/>
                <w:sz w:val="24"/>
              </w:rPr>
              <w:t>1.2cm</w:t>
            </w:r>
            <w:r>
              <w:rPr>
                <w:rFonts w:hint="eastAsia" w:ascii="仿宋_GB2312" w:hAnsi="宋体" w:eastAsia="仿宋_GB2312" w:cs="宋体"/>
                <w:sz w:val="24"/>
              </w:rPr>
              <w:t>的切口。</w:t>
            </w:r>
          </w:p>
          <w:p w14:paraId="56F6A927">
            <w:pPr>
              <w:pStyle w:val="10"/>
              <w:spacing w:after="0" w:line="400" w:lineRule="exact"/>
              <w:ind w:left="0" w:leftChars="0" w:firstLine="0" w:firstLineChars="0"/>
              <w:rPr>
                <w:rFonts w:hint="eastAsia" w:ascii="仿宋_GB2312" w:hAnsi="宋体" w:eastAsia="仿宋_GB2312" w:cs="宋体"/>
                <w:sz w:val="24"/>
              </w:rPr>
            </w:pPr>
            <w:r>
              <w:rPr>
                <w:rFonts w:hint="eastAsia" w:eastAsia="仿宋"/>
                <w:color w:val="000000"/>
                <w:sz w:val="24"/>
                <w:szCs w:val="24"/>
                <w:lang w:val="en-US"/>
              </w:rPr>
              <w:t>3.</w:t>
            </w:r>
            <w:r>
              <w:rPr>
                <w:rFonts w:hint="eastAsia" w:ascii="仿宋_GB2312" w:hAnsi="宋体" w:eastAsia="仿宋_GB2312" w:cs="宋体"/>
                <w:sz w:val="24"/>
              </w:rPr>
              <w:t xml:space="preserve"> 取接穗茄苗，保留</w:t>
            </w:r>
            <w:r>
              <w:rPr>
                <w:rFonts w:hint="eastAsia" w:ascii="仿宋_GB2312" w:eastAsia="仿宋_GB2312"/>
                <w:sz w:val="24"/>
              </w:rPr>
              <w:t>3</w:t>
            </w:r>
            <w:r>
              <w:rPr>
                <w:rFonts w:hint="eastAsia" w:ascii="仿宋_GB2312" w:hAnsi="宋体" w:eastAsia="仿宋_GB2312" w:cs="宋体"/>
                <w:sz w:val="24"/>
              </w:rPr>
              <w:t>～</w:t>
            </w:r>
            <w:r>
              <w:rPr>
                <w:rFonts w:hint="eastAsia" w:ascii="仿宋_GB2312" w:eastAsia="仿宋_GB2312"/>
                <w:sz w:val="24"/>
              </w:rPr>
              <w:t>4</w:t>
            </w:r>
            <w:r>
              <w:rPr>
                <w:rFonts w:hint="eastAsia" w:ascii="仿宋_GB2312" w:hAnsi="宋体" w:eastAsia="仿宋_GB2312" w:cs="宋体"/>
                <w:sz w:val="24"/>
              </w:rPr>
              <w:t>片真叶，在半木质化处，用刀削成双楔面，楔面长度</w:t>
            </w:r>
            <w:r>
              <w:rPr>
                <w:rFonts w:hint="eastAsia" w:ascii="仿宋_GB2312" w:eastAsia="仿宋_GB2312"/>
                <w:sz w:val="24"/>
              </w:rPr>
              <w:t>0.8</w:t>
            </w:r>
            <w:r>
              <w:rPr>
                <w:rFonts w:hint="eastAsia" w:ascii="仿宋_GB2312" w:hAnsi="宋体" w:eastAsia="仿宋_GB2312" w:cs="宋体"/>
                <w:sz w:val="24"/>
              </w:rPr>
              <w:t>～</w:t>
            </w:r>
            <w:r>
              <w:rPr>
                <w:rFonts w:hint="eastAsia" w:ascii="仿宋_GB2312" w:eastAsia="仿宋_GB2312"/>
                <w:sz w:val="24"/>
              </w:rPr>
              <w:t>1.2cm</w:t>
            </w:r>
            <w:r>
              <w:rPr>
                <w:rFonts w:hint="eastAsia" w:ascii="仿宋_GB2312" w:hAnsi="宋体" w:eastAsia="仿宋_GB2312" w:cs="宋体"/>
                <w:sz w:val="24"/>
              </w:rPr>
              <w:t>。</w:t>
            </w:r>
          </w:p>
          <w:p w14:paraId="1F30202C">
            <w:pPr>
              <w:pStyle w:val="10"/>
              <w:spacing w:after="0" w:line="400" w:lineRule="exact"/>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4. 将接穗插入砧木的切口中，保</w:t>
            </w:r>
            <w:r>
              <w:rPr>
                <w:rFonts w:hint="eastAsia" w:ascii="仿宋_GB2312" w:eastAsia="仿宋_GB2312"/>
                <w:sz w:val="24"/>
              </w:rPr>
              <w:t xml:space="preserve"> </w:t>
            </w:r>
            <w:r>
              <w:rPr>
                <w:rFonts w:hint="eastAsia" w:ascii="仿宋_GB2312" w:hAnsi="宋体" w:eastAsia="仿宋_GB2312" w:cs="宋体"/>
                <w:sz w:val="24"/>
              </w:rPr>
              <w:t>证接穗与砧木茎的一侧形成层对齐后，用嫁接夹固定好。</w:t>
            </w:r>
          </w:p>
          <w:p w14:paraId="77F70D51">
            <w:pPr>
              <w:pStyle w:val="10"/>
              <w:spacing w:after="0" w:line="400" w:lineRule="exact"/>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5. 保持操作台面及工位环境清洁卫生，工具归位，贴上标签。</w:t>
            </w:r>
          </w:p>
        </w:tc>
        <w:tc>
          <w:tcPr>
            <w:tcW w:w="2288" w:type="dxa"/>
            <w:vAlign w:val="center"/>
          </w:tcPr>
          <w:p w14:paraId="0EB4267F">
            <w:pPr>
              <w:pStyle w:val="10"/>
              <w:spacing w:after="0" w:line="400" w:lineRule="exact"/>
              <w:ind w:left="0" w:leftChars="0" w:firstLine="0" w:firstLineChars="0"/>
              <w:rPr>
                <w:rFonts w:hint="eastAsia" w:ascii="仿宋_GB2312" w:eastAsia="仿宋_GB2312"/>
                <w:spacing w:val="-3"/>
                <w:sz w:val="24"/>
                <w:szCs w:val="24"/>
              </w:rPr>
            </w:pPr>
            <w:r>
              <w:rPr>
                <w:rFonts w:hint="eastAsia" w:ascii="仿宋_GB2312" w:eastAsia="仿宋_GB2312"/>
                <w:spacing w:val="-3"/>
                <w:sz w:val="24"/>
                <w:szCs w:val="24"/>
              </w:rPr>
              <w:t>1．每出现1处未消毒扣0.5分；</w:t>
            </w:r>
          </w:p>
          <w:p w14:paraId="592123B3">
            <w:pPr>
              <w:pStyle w:val="10"/>
              <w:spacing w:after="0" w:line="400" w:lineRule="exact"/>
              <w:ind w:left="0" w:leftChars="0" w:firstLine="0" w:firstLineChars="0"/>
              <w:rPr>
                <w:rFonts w:hint="eastAsia" w:ascii="仿宋_GB2312" w:hAnsi="宋体" w:eastAsia="仿宋_GB2312" w:cs="宋体"/>
                <w:sz w:val="24"/>
              </w:rPr>
            </w:pPr>
            <w:r>
              <w:rPr>
                <w:rFonts w:hint="eastAsia" w:ascii="仿宋_GB2312" w:eastAsia="仿宋_GB2312"/>
                <w:spacing w:val="-3"/>
                <w:sz w:val="24"/>
                <w:szCs w:val="24"/>
              </w:rPr>
              <w:t>2．</w:t>
            </w:r>
            <w:r>
              <w:rPr>
                <w:rFonts w:hint="eastAsia" w:ascii="仿宋_GB2312" w:hAnsi="宋体" w:eastAsia="仿宋_GB2312" w:cs="宋体"/>
                <w:sz w:val="24"/>
              </w:rPr>
              <w:t>砧木切口过长或过短</w:t>
            </w:r>
            <w:r>
              <w:rPr>
                <w:rFonts w:hint="eastAsia" w:ascii="仿宋_GB2312" w:eastAsia="仿宋_GB2312"/>
                <w:spacing w:val="-3"/>
                <w:sz w:val="24"/>
                <w:szCs w:val="24"/>
              </w:rPr>
              <w:t>1</w:t>
            </w:r>
            <w:r>
              <w:rPr>
                <w:rFonts w:hint="eastAsia" w:ascii="仿宋_GB2312" w:hAnsi="宋体" w:eastAsia="仿宋_GB2312" w:cs="宋体"/>
                <w:sz w:val="24"/>
              </w:rPr>
              <w:t>株扣</w:t>
            </w:r>
            <w:r>
              <w:rPr>
                <w:rFonts w:hint="eastAsia" w:ascii="仿宋_GB2312" w:eastAsia="仿宋_GB2312"/>
                <w:sz w:val="24"/>
              </w:rPr>
              <w:t>0.</w:t>
            </w:r>
            <w:r>
              <w:rPr>
                <w:rFonts w:ascii="仿宋_GB2312" w:eastAsia="仿宋_GB2312"/>
                <w:sz w:val="24"/>
              </w:rPr>
              <w:t>2</w:t>
            </w:r>
            <w:r>
              <w:rPr>
                <w:rFonts w:hint="eastAsia" w:ascii="仿宋_GB2312" w:hAnsi="宋体" w:eastAsia="仿宋_GB2312" w:cs="宋体"/>
                <w:sz w:val="24"/>
              </w:rPr>
              <w:t>分；</w:t>
            </w:r>
          </w:p>
          <w:p w14:paraId="768EBA69">
            <w:pPr>
              <w:pStyle w:val="10"/>
              <w:spacing w:after="0" w:line="400" w:lineRule="exact"/>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3．茄子楔面过长或过短，</w:t>
            </w:r>
            <w:r>
              <w:rPr>
                <w:rFonts w:hint="eastAsia" w:ascii="仿宋_GB2312" w:eastAsia="仿宋_GB2312"/>
                <w:sz w:val="24"/>
              </w:rPr>
              <w:t>1</w:t>
            </w:r>
            <w:r>
              <w:rPr>
                <w:rFonts w:hint="eastAsia" w:ascii="仿宋_GB2312" w:hAnsi="宋体" w:eastAsia="仿宋_GB2312" w:cs="宋体"/>
                <w:sz w:val="24"/>
              </w:rPr>
              <w:t>株扣</w:t>
            </w:r>
            <w:r>
              <w:rPr>
                <w:rFonts w:hint="eastAsia" w:ascii="仿宋_GB2312" w:eastAsia="仿宋_GB2312"/>
                <w:sz w:val="24"/>
              </w:rPr>
              <w:t>0.</w:t>
            </w:r>
            <w:r>
              <w:rPr>
                <w:rFonts w:ascii="仿宋_GB2312" w:eastAsia="仿宋_GB2312"/>
                <w:sz w:val="24"/>
              </w:rPr>
              <w:t>2</w:t>
            </w:r>
            <w:r>
              <w:rPr>
                <w:rFonts w:hint="eastAsia" w:ascii="仿宋_GB2312" w:hAnsi="宋体" w:eastAsia="仿宋_GB2312" w:cs="宋体"/>
                <w:sz w:val="24"/>
              </w:rPr>
              <w:t>分，未削成双楔面</w:t>
            </w:r>
            <w:r>
              <w:rPr>
                <w:rFonts w:hint="eastAsia" w:ascii="仿宋_GB2312" w:eastAsia="仿宋_GB2312"/>
                <w:sz w:val="24"/>
              </w:rPr>
              <w:t>1</w:t>
            </w:r>
            <w:r>
              <w:rPr>
                <w:rFonts w:hint="eastAsia" w:ascii="仿宋_GB2312" w:hAnsi="宋体" w:eastAsia="仿宋_GB2312" w:cs="宋体"/>
                <w:sz w:val="24"/>
              </w:rPr>
              <w:t>株扣</w:t>
            </w:r>
            <w:r>
              <w:rPr>
                <w:rFonts w:hint="eastAsia" w:ascii="仿宋_GB2312" w:eastAsia="仿宋_GB2312"/>
                <w:sz w:val="24"/>
              </w:rPr>
              <w:t>0.5</w:t>
            </w:r>
            <w:r>
              <w:rPr>
                <w:rFonts w:hint="eastAsia" w:ascii="仿宋_GB2312" w:hAnsi="宋体" w:eastAsia="仿宋_GB2312" w:cs="宋体"/>
                <w:sz w:val="24"/>
              </w:rPr>
              <w:t>分；</w:t>
            </w:r>
          </w:p>
          <w:p w14:paraId="0D3D3CA9">
            <w:pPr>
              <w:pStyle w:val="10"/>
              <w:spacing w:after="0" w:line="400" w:lineRule="exact"/>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4．茄子楔面过长或过短，</w:t>
            </w:r>
            <w:r>
              <w:rPr>
                <w:rFonts w:hint="eastAsia" w:ascii="仿宋_GB2312" w:eastAsia="仿宋_GB2312"/>
                <w:sz w:val="24"/>
              </w:rPr>
              <w:t>1</w:t>
            </w:r>
            <w:r>
              <w:rPr>
                <w:rFonts w:hint="eastAsia" w:ascii="仿宋_GB2312" w:hAnsi="宋体" w:eastAsia="仿宋_GB2312" w:cs="宋体"/>
                <w:sz w:val="24"/>
              </w:rPr>
              <w:t>株扣</w:t>
            </w:r>
            <w:r>
              <w:rPr>
                <w:rFonts w:hint="eastAsia" w:ascii="仿宋_GB2312" w:eastAsia="仿宋_GB2312"/>
                <w:sz w:val="24"/>
              </w:rPr>
              <w:t>0.</w:t>
            </w:r>
            <w:r>
              <w:rPr>
                <w:rFonts w:ascii="仿宋_GB2312" w:eastAsia="仿宋_GB2312"/>
                <w:sz w:val="24"/>
              </w:rPr>
              <w:t>2</w:t>
            </w:r>
            <w:r>
              <w:rPr>
                <w:rFonts w:hint="eastAsia" w:ascii="仿宋_GB2312" w:hAnsi="宋体" w:eastAsia="仿宋_GB2312" w:cs="宋体"/>
                <w:sz w:val="24"/>
              </w:rPr>
              <w:t>分，未削成双楔面</w:t>
            </w:r>
            <w:r>
              <w:rPr>
                <w:rFonts w:hint="eastAsia" w:ascii="仿宋_GB2312" w:eastAsia="仿宋_GB2312"/>
                <w:sz w:val="24"/>
              </w:rPr>
              <w:t>1</w:t>
            </w:r>
            <w:r>
              <w:rPr>
                <w:rFonts w:hint="eastAsia" w:ascii="仿宋_GB2312" w:hAnsi="宋体" w:eastAsia="仿宋_GB2312" w:cs="宋体"/>
                <w:sz w:val="24"/>
              </w:rPr>
              <w:t>株扣</w:t>
            </w:r>
            <w:r>
              <w:rPr>
                <w:rFonts w:hint="eastAsia" w:ascii="仿宋_GB2312" w:eastAsia="仿宋_GB2312"/>
                <w:sz w:val="24"/>
              </w:rPr>
              <w:t>0.5</w:t>
            </w:r>
            <w:r>
              <w:rPr>
                <w:rFonts w:hint="eastAsia" w:ascii="仿宋_GB2312" w:hAnsi="宋体" w:eastAsia="仿宋_GB2312" w:cs="宋体"/>
                <w:sz w:val="24"/>
              </w:rPr>
              <w:t>分；</w:t>
            </w:r>
          </w:p>
          <w:p w14:paraId="677C9B6D">
            <w:pPr>
              <w:pStyle w:val="10"/>
              <w:spacing w:after="0" w:line="400" w:lineRule="exact"/>
              <w:ind w:left="0" w:leftChars="0" w:firstLine="0" w:firstLineChars="0"/>
              <w:rPr>
                <w:rFonts w:hint="eastAsia" w:ascii="仿宋_GB2312" w:eastAsia="仿宋_GB2312"/>
                <w:spacing w:val="-3"/>
                <w:sz w:val="24"/>
                <w:szCs w:val="24"/>
              </w:rPr>
            </w:pPr>
            <w:r>
              <w:rPr>
                <w:rFonts w:hint="eastAsia" w:ascii="仿宋_GB2312" w:hAnsi="宋体" w:eastAsia="仿宋_GB2312" w:cs="宋体"/>
                <w:sz w:val="24"/>
              </w:rPr>
              <w:t>5．未按要求整理工位每处扣</w:t>
            </w:r>
            <w:r>
              <w:rPr>
                <w:rFonts w:hint="eastAsia" w:ascii="仿宋_GB2312" w:eastAsia="仿宋_GB2312"/>
                <w:sz w:val="24"/>
              </w:rPr>
              <w:t>0.5</w:t>
            </w:r>
            <w:r>
              <w:rPr>
                <w:rFonts w:hint="eastAsia" w:ascii="仿宋_GB2312" w:hAnsi="宋体" w:eastAsia="仿宋_GB2312" w:cs="宋体"/>
                <w:sz w:val="24"/>
              </w:rPr>
              <w:t>分。</w:t>
            </w:r>
            <w:r>
              <w:rPr>
                <w:rFonts w:hint="eastAsia" w:ascii="仿宋_GB2312" w:eastAsia="仿宋_GB2312"/>
                <w:spacing w:val="-3"/>
                <w:sz w:val="24"/>
                <w:szCs w:val="24"/>
              </w:rPr>
              <w:t xml:space="preserve"> </w:t>
            </w:r>
          </w:p>
        </w:tc>
      </w:tr>
      <w:tr w14:paraId="0830B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Merge w:val="continue"/>
            <w:vAlign w:val="center"/>
          </w:tcPr>
          <w:p w14:paraId="2C19EFCA">
            <w:pPr>
              <w:pStyle w:val="10"/>
              <w:adjustRightInd w:val="0"/>
              <w:snapToGrid w:val="0"/>
              <w:spacing w:after="0"/>
              <w:ind w:left="0" w:leftChars="0" w:firstLine="0" w:firstLineChars="0"/>
              <w:jc w:val="center"/>
              <w:rPr>
                <w:rFonts w:hint="eastAsia" w:eastAsia="仿宋"/>
                <w:b/>
                <w:color w:val="000000"/>
                <w:sz w:val="24"/>
                <w:szCs w:val="24"/>
                <w:lang w:val="en-US"/>
              </w:rPr>
            </w:pPr>
          </w:p>
        </w:tc>
        <w:tc>
          <w:tcPr>
            <w:tcW w:w="1560" w:type="dxa"/>
            <w:vAlign w:val="center"/>
          </w:tcPr>
          <w:p w14:paraId="6BA4E885">
            <w:pPr>
              <w:pStyle w:val="10"/>
              <w:spacing w:after="0"/>
              <w:ind w:left="0" w:leftChars="0" w:firstLine="0" w:firstLineChars="0"/>
              <w:rPr>
                <w:rFonts w:hint="eastAsia" w:ascii="仿宋" w:hAnsi="仿宋" w:eastAsia="仿宋" w:cs="仿宋"/>
                <w:color w:val="000000"/>
                <w:kern w:val="0"/>
                <w:sz w:val="24"/>
                <w:szCs w:val="24"/>
                <w:lang w:val="en-US" w:eastAsia="zh-CN" w:bidi="zh-CN"/>
              </w:rPr>
            </w:pPr>
            <w:r>
              <w:rPr>
                <w:rFonts w:hint="eastAsia" w:eastAsia="仿宋"/>
                <w:color w:val="000000"/>
                <w:sz w:val="24"/>
                <w:szCs w:val="24"/>
                <w:lang w:val="en-US"/>
              </w:rPr>
              <w:t>子任务1-</w:t>
            </w:r>
            <w:r>
              <w:rPr>
                <w:rFonts w:hint="eastAsia" w:eastAsia="仿宋"/>
                <w:color w:val="000000"/>
                <w:sz w:val="24"/>
                <w:szCs w:val="24"/>
                <w:lang w:val="en-US" w:eastAsia="zh-CN"/>
              </w:rPr>
              <w:t>2</w:t>
            </w:r>
          </w:p>
        </w:tc>
        <w:tc>
          <w:tcPr>
            <w:tcW w:w="1559" w:type="dxa"/>
            <w:vAlign w:val="center"/>
          </w:tcPr>
          <w:p w14:paraId="36E56F82">
            <w:pPr>
              <w:spacing w:line="360" w:lineRule="auto"/>
              <w:rPr>
                <w:rFonts w:hint="eastAsia" w:ascii="仿宋_GB2312" w:eastAsia="仿宋_GB2312"/>
                <w:spacing w:val="4"/>
                <w:sz w:val="24"/>
                <w:szCs w:val="24"/>
              </w:rPr>
            </w:pPr>
            <w:r>
              <w:rPr>
                <w:rFonts w:hint="eastAsia" w:ascii="仿宋_GB2312" w:eastAsia="仿宋_GB2312"/>
                <w:spacing w:val="4"/>
                <w:sz w:val="24"/>
                <w:szCs w:val="24"/>
              </w:rPr>
              <w:t>黄瓜顶端</w:t>
            </w:r>
          </w:p>
          <w:p w14:paraId="618906D1">
            <w:pPr>
              <w:spacing w:line="360" w:lineRule="auto"/>
              <w:ind w:firstLine="248" w:firstLineChars="100"/>
              <w:rPr>
                <w:rFonts w:hint="eastAsia" w:ascii="仿宋_GB2312" w:hAnsi="Calibri" w:eastAsia="仿宋_GB2312" w:cs="Times New Roman"/>
                <w:kern w:val="2"/>
                <w:sz w:val="24"/>
                <w:szCs w:val="24"/>
                <w:lang w:val="en-US" w:eastAsia="zh-CN" w:bidi="ar-SA"/>
              </w:rPr>
            </w:pPr>
            <w:r>
              <w:rPr>
                <w:rFonts w:hint="eastAsia" w:ascii="仿宋_GB2312" w:eastAsia="仿宋_GB2312"/>
                <w:spacing w:val="4"/>
                <w:sz w:val="24"/>
                <w:szCs w:val="24"/>
              </w:rPr>
              <w:t>插接</w:t>
            </w:r>
          </w:p>
        </w:tc>
        <w:tc>
          <w:tcPr>
            <w:tcW w:w="1984" w:type="dxa"/>
            <w:vAlign w:val="center"/>
          </w:tcPr>
          <w:p w14:paraId="2CD6FEAD">
            <w:pPr>
              <w:pStyle w:val="10"/>
              <w:spacing w:after="0"/>
              <w:ind w:left="0" w:leftChars="0" w:firstLine="0" w:firstLineChars="0"/>
              <w:rPr>
                <w:rFonts w:hint="eastAsia" w:ascii="仿宋_GB2312" w:hAnsi="宋体" w:eastAsia="仿宋_GB2312" w:cs="宋体"/>
                <w:sz w:val="24"/>
              </w:rPr>
            </w:pPr>
            <w:r>
              <w:rPr>
                <w:rFonts w:hint="eastAsia" w:ascii="仿宋_GB2312" w:hAnsi="宋体" w:eastAsia="仿宋_GB2312" w:cs="宋体"/>
                <w:sz w:val="24"/>
              </w:rPr>
              <w:t>1.工具消毒；</w:t>
            </w:r>
          </w:p>
          <w:p w14:paraId="22C0C5C3">
            <w:pPr>
              <w:pStyle w:val="10"/>
              <w:spacing w:after="0"/>
              <w:ind w:left="0" w:leftChars="0" w:firstLine="0" w:firstLineChars="0"/>
              <w:rPr>
                <w:rFonts w:hint="eastAsia" w:eastAsia="仿宋"/>
                <w:color w:val="000000"/>
                <w:sz w:val="24"/>
                <w:szCs w:val="24"/>
                <w:lang w:val="en-US"/>
              </w:rPr>
            </w:pPr>
            <w:r>
              <w:rPr>
                <w:rFonts w:hint="eastAsia" w:ascii="仿宋_GB2312" w:hAnsi="宋体" w:eastAsia="仿宋_GB2312" w:cs="宋体"/>
                <w:sz w:val="24"/>
              </w:rPr>
              <w:t>2.砧木处理；</w:t>
            </w:r>
          </w:p>
          <w:p w14:paraId="65E725CF">
            <w:pPr>
              <w:pStyle w:val="10"/>
              <w:spacing w:after="0"/>
              <w:ind w:left="0" w:leftChars="0" w:firstLine="0" w:firstLineChars="0"/>
              <w:rPr>
                <w:rFonts w:hint="eastAsia" w:eastAsia="仿宋"/>
                <w:color w:val="000000"/>
                <w:sz w:val="24"/>
                <w:szCs w:val="24"/>
                <w:lang w:val="en-US"/>
              </w:rPr>
            </w:pPr>
            <w:r>
              <w:rPr>
                <w:rFonts w:hint="eastAsia" w:ascii="仿宋_GB2312" w:hAnsi="宋体" w:eastAsia="仿宋_GB2312" w:cs="宋体"/>
                <w:sz w:val="24"/>
              </w:rPr>
              <w:t>3.接穗处理；</w:t>
            </w:r>
          </w:p>
          <w:p w14:paraId="5973D2B1">
            <w:pPr>
              <w:pStyle w:val="10"/>
              <w:spacing w:after="0"/>
              <w:ind w:left="0" w:leftChars="0" w:firstLine="0" w:firstLineChars="0"/>
              <w:rPr>
                <w:rFonts w:hint="eastAsia" w:eastAsia="仿宋"/>
                <w:color w:val="000000"/>
                <w:sz w:val="24"/>
                <w:szCs w:val="24"/>
                <w:lang w:val="en-US"/>
              </w:rPr>
            </w:pPr>
            <w:r>
              <w:rPr>
                <w:rFonts w:hint="eastAsia" w:ascii="仿宋_GB2312" w:hAnsi="宋体" w:eastAsia="仿宋_GB2312" w:cs="宋体"/>
                <w:sz w:val="24"/>
                <w:lang w:val="en-US"/>
              </w:rPr>
              <w:t>4.</w:t>
            </w:r>
            <w:r>
              <w:rPr>
                <w:rFonts w:hint="eastAsia" w:ascii="仿宋_GB2312" w:hAnsi="宋体" w:eastAsia="仿宋_GB2312" w:cs="宋体"/>
                <w:sz w:val="24"/>
              </w:rPr>
              <w:t>接合固定</w:t>
            </w:r>
            <w:r>
              <w:rPr>
                <w:rFonts w:hint="eastAsia" w:ascii="仿宋_GB2312" w:hAnsi="宋体" w:eastAsia="仿宋_GB2312" w:cs="宋体"/>
                <w:sz w:val="24"/>
                <w:lang w:val="en-US"/>
              </w:rPr>
              <w:t>；</w:t>
            </w:r>
          </w:p>
          <w:p w14:paraId="1B8DEE75">
            <w:pPr>
              <w:pStyle w:val="10"/>
              <w:spacing w:after="0"/>
              <w:ind w:left="0" w:leftChars="0" w:firstLine="0" w:firstLineChars="0"/>
              <w:rPr>
                <w:rFonts w:hint="eastAsia" w:ascii="仿宋" w:hAnsi="仿宋" w:eastAsia="仿宋" w:cs="仿宋"/>
                <w:color w:val="000000"/>
                <w:kern w:val="0"/>
                <w:sz w:val="24"/>
                <w:szCs w:val="24"/>
                <w:lang w:val="en-US" w:eastAsia="zh-CN" w:bidi="zh-CN"/>
              </w:rPr>
            </w:pPr>
            <w:r>
              <w:rPr>
                <w:rFonts w:hint="eastAsia" w:ascii="仿宋_GB2312" w:hAnsi="宋体" w:eastAsia="仿宋_GB2312" w:cs="宋体"/>
                <w:sz w:val="24"/>
                <w:lang w:val="en-US"/>
              </w:rPr>
              <w:t>5.</w:t>
            </w:r>
            <w:r>
              <w:rPr>
                <w:rFonts w:hint="eastAsia" w:ascii="仿宋_GB2312" w:hAnsi="宋体" w:eastAsia="仿宋_GB2312" w:cs="宋体"/>
                <w:sz w:val="24"/>
              </w:rPr>
              <w:t>整理工位。</w:t>
            </w:r>
          </w:p>
        </w:tc>
        <w:tc>
          <w:tcPr>
            <w:tcW w:w="3969" w:type="dxa"/>
            <w:vAlign w:val="center"/>
          </w:tcPr>
          <w:p w14:paraId="540DBFDB">
            <w:pPr>
              <w:pStyle w:val="10"/>
              <w:spacing w:after="0" w:line="420" w:lineRule="exact"/>
              <w:ind w:left="0" w:leftChars="0" w:firstLine="0" w:firstLineChars="0"/>
              <w:rPr>
                <w:rFonts w:hint="eastAsia" w:ascii="仿宋_GB2312" w:eastAsia="仿宋_GB2312"/>
                <w:w w:val="95"/>
                <w:sz w:val="24"/>
                <w:szCs w:val="24"/>
              </w:rPr>
            </w:pPr>
            <w:r>
              <w:rPr>
                <w:rFonts w:hint="eastAsia" w:ascii="仿宋_GB2312" w:eastAsia="仿宋_GB2312"/>
                <w:w w:val="95"/>
                <w:sz w:val="24"/>
                <w:szCs w:val="24"/>
              </w:rPr>
              <w:t>1.用75%的酒精棉球消毒。在嫁接新一盘苗前需重复以上消毒操作。</w:t>
            </w:r>
          </w:p>
          <w:p w14:paraId="3A53D131">
            <w:pPr>
              <w:pStyle w:val="10"/>
              <w:spacing w:after="0" w:line="420" w:lineRule="exact"/>
              <w:ind w:left="0" w:leftChars="0" w:firstLine="0" w:firstLineChars="0"/>
              <w:rPr>
                <w:rFonts w:hint="eastAsia" w:ascii="仿宋_GB2312" w:eastAsia="仿宋_GB2312"/>
                <w:w w:val="95"/>
                <w:sz w:val="24"/>
                <w:szCs w:val="24"/>
              </w:rPr>
            </w:pPr>
            <w:r>
              <w:rPr>
                <w:rFonts w:hint="eastAsia" w:ascii="仿宋_GB2312" w:eastAsia="仿宋_GB2312"/>
                <w:w w:val="95"/>
                <w:sz w:val="24"/>
                <w:szCs w:val="24"/>
              </w:rPr>
              <w:t>2．去除砧木第一片真叶叶片，保留叶柄和生长点。斜插，插孔长约0.5～0.7</w:t>
            </w:r>
            <w:r>
              <w:rPr>
                <w:rFonts w:hint="eastAsia" w:ascii="仿宋_GB2312" w:eastAsia="仿宋_GB2312"/>
                <w:w w:val="95"/>
                <w:sz w:val="24"/>
                <w:szCs w:val="24"/>
                <w:lang w:val="en-US" w:eastAsia="zh-CN"/>
              </w:rPr>
              <w:t>cm</w:t>
            </w:r>
            <w:r>
              <w:rPr>
                <w:rFonts w:hint="eastAsia" w:ascii="仿宋_GB2312" w:eastAsia="仿宋_GB2312"/>
                <w:w w:val="95"/>
                <w:sz w:val="24"/>
                <w:szCs w:val="24"/>
              </w:rPr>
              <w:t>，嫁接针略穿透砧木苗。</w:t>
            </w:r>
          </w:p>
          <w:p w14:paraId="03F3C499">
            <w:pPr>
              <w:pStyle w:val="10"/>
              <w:spacing w:after="0" w:line="420" w:lineRule="exact"/>
              <w:ind w:left="0" w:leftChars="0" w:firstLine="0" w:firstLineChars="0"/>
              <w:rPr>
                <w:rFonts w:hint="eastAsia" w:ascii="仿宋_GB2312" w:eastAsia="仿宋_GB2312"/>
                <w:spacing w:val="-3"/>
                <w:sz w:val="24"/>
                <w:szCs w:val="24"/>
              </w:rPr>
            </w:pPr>
            <w:r>
              <w:rPr>
                <w:rFonts w:hint="eastAsia" w:ascii="仿宋_GB2312" w:eastAsia="仿宋_GB2312"/>
                <w:w w:val="95"/>
                <w:sz w:val="24"/>
                <w:szCs w:val="24"/>
              </w:rPr>
              <w:t>3．取接穗苗，用刀片在与子叶着生方向垂直一侧、距子叶基部约0.5～</w:t>
            </w:r>
            <w:r>
              <w:rPr>
                <w:rFonts w:hint="eastAsia" w:ascii="仿宋_GB2312" w:eastAsia="仿宋_GB2312"/>
                <w:spacing w:val="-3"/>
                <w:sz w:val="24"/>
                <w:szCs w:val="24"/>
              </w:rPr>
              <w:t>0.7cm处，向下斜削一刀，把苗茎削成0.6～0.8cm的平滑单楔面，切面平滑无污染。表皮，嫁接针暂不拔出。</w:t>
            </w:r>
          </w:p>
          <w:p w14:paraId="34F924FE">
            <w:pPr>
              <w:pStyle w:val="10"/>
              <w:spacing w:after="0" w:line="420" w:lineRule="exact"/>
              <w:ind w:left="0" w:leftChars="0" w:firstLine="0" w:firstLineChars="0"/>
              <w:rPr>
                <w:rFonts w:hint="eastAsia" w:ascii="仿宋_GB2312" w:eastAsia="仿宋_GB2312"/>
                <w:spacing w:val="-3"/>
                <w:sz w:val="24"/>
                <w:szCs w:val="24"/>
              </w:rPr>
            </w:pPr>
            <w:r>
              <w:rPr>
                <w:rFonts w:hint="eastAsia" w:ascii="仿宋_GB2312" w:eastAsia="仿宋_GB2312"/>
                <w:spacing w:val="-3"/>
                <w:sz w:val="24"/>
                <w:szCs w:val="24"/>
              </w:rPr>
              <w:t>4．拔出砧木上的嫁接针，迅速将切好的黄瓜接穗准确地插入砧木插孔内，嫁接苗的四片子叶呈“十”字交叉。</w:t>
            </w:r>
          </w:p>
          <w:p w14:paraId="5D56B2FB">
            <w:pPr>
              <w:pStyle w:val="10"/>
              <w:spacing w:after="0" w:line="420" w:lineRule="exact"/>
              <w:ind w:left="0" w:leftChars="0" w:firstLine="0" w:firstLineChars="0"/>
              <w:rPr>
                <w:rFonts w:hint="eastAsia" w:ascii="仿宋" w:hAnsi="仿宋" w:eastAsia="仿宋" w:cs="仿宋"/>
                <w:color w:val="000000"/>
                <w:kern w:val="0"/>
                <w:sz w:val="24"/>
                <w:szCs w:val="24"/>
                <w:lang w:val="en-US" w:eastAsia="zh-CN" w:bidi="zh-CN"/>
              </w:rPr>
            </w:pPr>
            <w:r>
              <w:rPr>
                <w:rFonts w:hint="eastAsia" w:ascii="仿宋_GB2312" w:eastAsia="仿宋_GB2312"/>
                <w:w w:val="95"/>
                <w:sz w:val="24"/>
                <w:szCs w:val="24"/>
              </w:rPr>
              <w:t>5．</w:t>
            </w:r>
            <w:r>
              <w:rPr>
                <w:rFonts w:hint="eastAsia" w:ascii="仿宋_GB2312" w:hAnsi="宋体" w:eastAsia="仿宋_GB2312" w:cs="宋体"/>
                <w:sz w:val="24"/>
              </w:rPr>
              <w:t>保持操作台面及工位环境清洁卫生，工具归位，贴上标签。</w:t>
            </w:r>
          </w:p>
        </w:tc>
        <w:tc>
          <w:tcPr>
            <w:tcW w:w="2288" w:type="dxa"/>
            <w:vAlign w:val="center"/>
          </w:tcPr>
          <w:p w14:paraId="417F6F51">
            <w:pPr>
              <w:pStyle w:val="10"/>
              <w:spacing w:after="0" w:line="420" w:lineRule="exact"/>
              <w:ind w:left="0" w:leftChars="0" w:firstLine="0" w:firstLineChars="0"/>
              <w:rPr>
                <w:rFonts w:hint="eastAsia" w:ascii="仿宋_GB2312" w:eastAsia="仿宋_GB2312"/>
                <w:spacing w:val="-3"/>
                <w:sz w:val="24"/>
                <w:szCs w:val="24"/>
              </w:rPr>
            </w:pPr>
            <w:r>
              <w:rPr>
                <w:rFonts w:hint="eastAsia" w:ascii="仿宋_GB2312" w:eastAsia="仿宋_GB2312"/>
                <w:spacing w:val="-3"/>
                <w:sz w:val="24"/>
                <w:szCs w:val="24"/>
              </w:rPr>
              <w:t>1．每出现1处未消毒扣0.5分。</w:t>
            </w:r>
          </w:p>
          <w:p w14:paraId="3F1804E4">
            <w:pPr>
              <w:pStyle w:val="10"/>
              <w:spacing w:after="0" w:line="420" w:lineRule="exact"/>
              <w:ind w:left="0" w:leftChars="0" w:firstLine="0" w:firstLineChars="0"/>
              <w:rPr>
                <w:rFonts w:hint="eastAsia" w:ascii="仿宋_GB2312" w:eastAsia="仿宋_GB2312"/>
                <w:sz w:val="24"/>
                <w:szCs w:val="24"/>
              </w:rPr>
            </w:pPr>
            <w:r>
              <w:rPr>
                <w:rFonts w:hint="eastAsia" w:ascii="仿宋_GB2312" w:eastAsia="仿宋_GB2312"/>
                <w:w w:val="95"/>
                <w:sz w:val="24"/>
                <w:szCs w:val="24"/>
              </w:rPr>
              <w:t>2．不按要求去除砧木叶片，1株</w:t>
            </w:r>
            <w:r>
              <w:rPr>
                <w:rFonts w:hint="eastAsia" w:ascii="仿宋_GB2312" w:eastAsia="仿宋_GB2312"/>
                <w:w w:val="90"/>
                <w:sz w:val="24"/>
                <w:szCs w:val="24"/>
              </w:rPr>
              <w:t>扣0.</w:t>
            </w:r>
            <w:r>
              <w:rPr>
                <w:rFonts w:ascii="仿宋_GB2312" w:eastAsia="仿宋_GB2312"/>
                <w:w w:val="90"/>
                <w:sz w:val="24"/>
                <w:szCs w:val="24"/>
              </w:rPr>
              <w:t>1</w:t>
            </w:r>
            <w:r>
              <w:rPr>
                <w:rFonts w:hint="eastAsia" w:ascii="仿宋_GB2312" w:eastAsia="仿宋_GB2312"/>
                <w:w w:val="90"/>
                <w:sz w:val="24"/>
                <w:szCs w:val="24"/>
              </w:rPr>
              <w:t>分；嫁接针未略插透砧</w:t>
            </w:r>
            <w:r>
              <w:rPr>
                <w:rFonts w:hint="eastAsia" w:ascii="仿宋_GB2312" w:eastAsia="仿宋_GB2312"/>
                <w:w w:val="95"/>
                <w:sz w:val="24"/>
                <w:szCs w:val="24"/>
              </w:rPr>
              <w:t>木表皮者，1株扣0.</w:t>
            </w:r>
            <w:r>
              <w:rPr>
                <w:rFonts w:ascii="仿宋_GB2312" w:eastAsia="仿宋_GB2312"/>
                <w:w w:val="95"/>
                <w:sz w:val="24"/>
                <w:szCs w:val="24"/>
              </w:rPr>
              <w:t>2</w:t>
            </w:r>
            <w:r>
              <w:rPr>
                <w:rFonts w:hint="eastAsia" w:ascii="仿宋_GB2312" w:eastAsia="仿宋_GB2312"/>
                <w:w w:val="95"/>
                <w:sz w:val="24"/>
                <w:szCs w:val="24"/>
              </w:rPr>
              <w:t>分</w:t>
            </w:r>
            <w:r>
              <w:rPr>
                <w:rFonts w:hint="eastAsia" w:ascii="仿宋_GB2312" w:eastAsia="仿宋_GB2312"/>
                <w:sz w:val="24"/>
                <w:szCs w:val="24"/>
              </w:rPr>
              <w:t>。</w:t>
            </w:r>
          </w:p>
          <w:p w14:paraId="0F35FF69">
            <w:pPr>
              <w:pStyle w:val="10"/>
              <w:spacing w:after="0" w:line="420" w:lineRule="exact"/>
              <w:ind w:left="0" w:leftChars="0" w:firstLine="0" w:firstLineChars="0"/>
              <w:rPr>
                <w:rFonts w:hint="eastAsia" w:ascii="仿宋_GB2312" w:eastAsia="仿宋_GB2312"/>
                <w:spacing w:val="-8"/>
                <w:sz w:val="24"/>
                <w:szCs w:val="24"/>
              </w:rPr>
            </w:pPr>
            <w:r>
              <w:rPr>
                <w:rFonts w:hint="eastAsia" w:ascii="仿宋_GB2312" w:eastAsia="仿宋_GB2312"/>
                <w:sz w:val="24"/>
                <w:szCs w:val="24"/>
              </w:rPr>
              <w:t>3．接穗楔面过短或过长，</w:t>
            </w:r>
            <w:r>
              <w:rPr>
                <w:rFonts w:hint="eastAsia" w:ascii="仿宋_GB2312" w:eastAsia="仿宋_GB2312"/>
                <w:spacing w:val="-6"/>
                <w:sz w:val="24"/>
                <w:szCs w:val="24"/>
              </w:rPr>
              <w:t>切口距子叶基部</w:t>
            </w:r>
            <w:r>
              <w:rPr>
                <w:rFonts w:hint="eastAsia" w:ascii="仿宋_GB2312" w:eastAsia="仿宋_GB2312"/>
                <w:spacing w:val="-14"/>
                <w:sz w:val="24"/>
                <w:szCs w:val="24"/>
              </w:rPr>
              <w:t>过长或过短，</w:t>
            </w:r>
            <w:r>
              <w:rPr>
                <w:rFonts w:hint="eastAsia" w:ascii="仿宋_GB2312" w:eastAsia="仿宋_GB2312"/>
                <w:spacing w:val="-3"/>
                <w:sz w:val="24"/>
                <w:szCs w:val="24"/>
              </w:rPr>
              <w:t>接穗单切面向上插入砧木</w:t>
            </w:r>
            <w:r>
              <w:rPr>
                <w:rFonts w:hint="eastAsia" w:ascii="仿宋_GB2312" w:eastAsia="仿宋_GB2312"/>
                <w:sz w:val="24"/>
                <w:szCs w:val="24"/>
              </w:rPr>
              <w:t>,</w:t>
            </w:r>
            <w:r>
              <w:rPr>
                <w:rFonts w:hint="eastAsia" w:ascii="仿宋_GB2312" w:eastAsia="仿宋_GB2312"/>
                <w:spacing w:val="-3"/>
                <w:sz w:val="24"/>
                <w:szCs w:val="24"/>
              </w:rPr>
              <w:t>接穗不穿透</w:t>
            </w:r>
            <w:r>
              <w:rPr>
                <w:rFonts w:hint="eastAsia" w:ascii="仿宋_GB2312" w:eastAsia="仿宋_GB2312"/>
                <w:spacing w:val="-5"/>
                <w:sz w:val="24"/>
                <w:szCs w:val="24"/>
              </w:rPr>
              <w:t>砧木外表皮等每处1株扣</w:t>
            </w:r>
            <w:r>
              <w:rPr>
                <w:rFonts w:hint="eastAsia" w:ascii="仿宋_GB2312" w:eastAsia="仿宋_GB2312"/>
                <w:sz w:val="24"/>
                <w:szCs w:val="24"/>
              </w:rPr>
              <w:t>0.</w:t>
            </w:r>
            <w:r>
              <w:rPr>
                <w:rFonts w:ascii="仿宋_GB2312" w:eastAsia="仿宋_GB2312"/>
                <w:sz w:val="24"/>
                <w:szCs w:val="24"/>
              </w:rPr>
              <w:t>2</w:t>
            </w:r>
            <w:r>
              <w:rPr>
                <w:rFonts w:hint="eastAsia" w:ascii="仿宋_GB2312" w:eastAsia="仿宋_GB2312"/>
                <w:spacing w:val="-8"/>
                <w:sz w:val="24"/>
                <w:szCs w:val="24"/>
              </w:rPr>
              <w:t>分。</w:t>
            </w:r>
          </w:p>
          <w:p w14:paraId="702D2327">
            <w:pPr>
              <w:pStyle w:val="10"/>
              <w:spacing w:after="0" w:line="420" w:lineRule="exact"/>
              <w:ind w:left="0" w:leftChars="0" w:firstLine="0" w:firstLineChars="0"/>
              <w:rPr>
                <w:rFonts w:hint="eastAsia" w:ascii="仿宋_GB2312" w:eastAsia="仿宋_GB2312"/>
                <w:spacing w:val="-6"/>
                <w:sz w:val="24"/>
                <w:szCs w:val="24"/>
              </w:rPr>
            </w:pPr>
            <w:r>
              <w:rPr>
                <w:rFonts w:hint="eastAsia" w:ascii="仿宋_GB2312" w:eastAsia="仿宋_GB2312"/>
                <w:spacing w:val="-8"/>
                <w:sz w:val="24"/>
                <w:szCs w:val="24"/>
              </w:rPr>
              <w:t>4．</w:t>
            </w:r>
            <w:r>
              <w:rPr>
                <w:rFonts w:hint="eastAsia" w:ascii="仿宋_GB2312" w:eastAsia="仿宋_GB2312"/>
                <w:spacing w:val="-9"/>
                <w:sz w:val="24"/>
                <w:szCs w:val="24"/>
              </w:rPr>
              <w:t>嫁接苗四片子叶不呈“十”</w:t>
            </w:r>
            <w:r>
              <w:rPr>
                <w:rFonts w:hint="eastAsia" w:ascii="仿宋_GB2312" w:eastAsia="仿宋_GB2312"/>
                <w:spacing w:val="-8"/>
                <w:sz w:val="24"/>
                <w:szCs w:val="24"/>
              </w:rPr>
              <w:t>字，1株扣</w:t>
            </w:r>
            <w:r>
              <w:rPr>
                <w:rFonts w:hint="eastAsia" w:ascii="仿宋_GB2312" w:eastAsia="仿宋_GB2312"/>
                <w:sz w:val="24"/>
                <w:szCs w:val="24"/>
              </w:rPr>
              <w:t>0.5</w:t>
            </w:r>
            <w:r>
              <w:rPr>
                <w:rFonts w:hint="eastAsia" w:ascii="仿宋_GB2312" w:eastAsia="仿宋_GB2312"/>
                <w:spacing w:val="-7"/>
                <w:sz w:val="24"/>
                <w:szCs w:val="24"/>
              </w:rPr>
              <w:t>分。破坏1株</w:t>
            </w:r>
            <w:r>
              <w:rPr>
                <w:rFonts w:hint="eastAsia" w:ascii="仿宋_GB2312" w:eastAsia="仿宋_GB2312"/>
                <w:spacing w:val="-6"/>
                <w:sz w:val="24"/>
                <w:szCs w:val="24"/>
              </w:rPr>
              <w:t>接穗或砧木扣0.</w:t>
            </w:r>
            <w:r>
              <w:rPr>
                <w:rFonts w:ascii="仿宋_GB2312" w:eastAsia="仿宋_GB2312"/>
                <w:spacing w:val="-6"/>
                <w:sz w:val="24"/>
                <w:szCs w:val="24"/>
              </w:rPr>
              <w:t>5</w:t>
            </w:r>
            <w:r>
              <w:rPr>
                <w:rFonts w:hint="eastAsia" w:ascii="仿宋_GB2312" w:eastAsia="仿宋_GB2312"/>
                <w:spacing w:val="-6"/>
                <w:sz w:val="24"/>
                <w:szCs w:val="24"/>
              </w:rPr>
              <w:t>分。</w:t>
            </w:r>
          </w:p>
          <w:p w14:paraId="4EA0ADA7">
            <w:pPr>
              <w:pStyle w:val="10"/>
              <w:spacing w:after="0" w:line="420" w:lineRule="exact"/>
              <w:ind w:left="0" w:leftChars="0" w:firstLine="0" w:firstLineChars="0"/>
              <w:rPr>
                <w:rFonts w:hint="eastAsia" w:ascii="仿宋" w:hAnsi="仿宋" w:eastAsia="仿宋" w:cs="仿宋"/>
                <w:color w:val="000000"/>
                <w:kern w:val="0"/>
                <w:sz w:val="24"/>
                <w:szCs w:val="24"/>
                <w:lang w:val="en-US" w:eastAsia="zh-CN" w:bidi="zh-CN"/>
              </w:rPr>
            </w:pPr>
            <w:r>
              <w:rPr>
                <w:rFonts w:hint="eastAsia" w:ascii="仿宋_GB2312" w:hAnsi="宋体" w:eastAsia="仿宋_GB2312" w:cs="宋体"/>
                <w:sz w:val="24"/>
              </w:rPr>
              <w:t>5．未按要求整理工位每处扣</w:t>
            </w:r>
            <w:r>
              <w:rPr>
                <w:rFonts w:hint="eastAsia" w:ascii="仿宋_GB2312" w:eastAsia="仿宋_GB2312"/>
                <w:sz w:val="24"/>
              </w:rPr>
              <w:t>0.5</w:t>
            </w:r>
            <w:r>
              <w:rPr>
                <w:rFonts w:hint="eastAsia" w:ascii="仿宋_GB2312" w:hAnsi="宋体" w:eastAsia="仿宋_GB2312" w:cs="宋体"/>
                <w:sz w:val="24"/>
              </w:rPr>
              <w:t>分。</w:t>
            </w:r>
          </w:p>
        </w:tc>
      </w:tr>
      <w:tr w14:paraId="04E3B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Merge w:val="continue"/>
            <w:vAlign w:val="center"/>
          </w:tcPr>
          <w:p w14:paraId="350D9533">
            <w:pPr>
              <w:pStyle w:val="10"/>
              <w:adjustRightInd w:val="0"/>
              <w:snapToGrid w:val="0"/>
              <w:spacing w:after="0"/>
              <w:ind w:left="0" w:leftChars="0" w:firstLine="0" w:firstLineChars="0"/>
              <w:jc w:val="center"/>
              <w:rPr>
                <w:rFonts w:hint="eastAsia" w:eastAsia="仿宋"/>
                <w:b/>
                <w:color w:val="000000"/>
                <w:sz w:val="24"/>
                <w:szCs w:val="24"/>
                <w:lang w:val="en-US"/>
              </w:rPr>
            </w:pPr>
          </w:p>
        </w:tc>
        <w:tc>
          <w:tcPr>
            <w:tcW w:w="1560" w:type="dxa"/>
            <w:vAlign w:val="center"/>
          </w:tcPr>
          <w:p w14:paraId="59446166">
            <w:pPr>
              <w:pStyle w:val="10"/>
              <w:spacing w:after="0"/>
              <w:ind w:left="0" w:leftChars="0" w:firstLine="0" w:firstLineChars="0"/>
              <w:rPr>
                <w:rFonts w:hint="eastAsia" w:ascii="仿宋" w:hAnsi="仿宋" w:eastAsia="仿宋" w:cs="仿宋"/>
                <w:color w:val="auto"/>
                <w:kern w:val="0"/>
                <w:sz w:val="24"/>
                <w:szCs w:val="24"/>
                <w:lang w:val="en-US" w:eastAsia="zh-CN" w:bidi="zh-CN"/>
              </w:rPr>
            </w:pPr>
            <w:r>
              <w:rPr>
                <w:rFonts w:hint="eastAsia" w:eastAsia="仿宋"/>
                <w:color w:val="auto"/>
                <w:sz w:val="24"/>
                <w:szCs w:val="24"/>
                <w:lang w:val="en-US"/>
              </w:rPr>
              <w:t>子任务1-</w:t>
            </w:r>
            <w:r>
              <w:rPr>
                <w:rFonts w:hint="eastAsia" w:eastAsia="仿宋"/>
                <w:color w:val="auto"/>
                <w:sz w:val="24"/>
                <w:szCs w:val="24"/>
                <w:lang w:val="en-US" w:eastAsia="zh-CN"/>
              </w:rPr>
              <w:t>3</w:t>
            </w:r>
          </w:p>
        </w:tc>
        <w:tc>
          <w:tcPr>
            <w:tcW w:w="1559" w:type="dxa"/>
            <w:vAlign w:val="center"/>
          </w:tcPr>
          <w:p w14:paraId="238A7D4A">
            <w:pPr>
              <w:spacing w:line="360" w:lineRule="auto"/>
              <w:ind w:firstLine="0" w:firstLineChars="0"/>
              <w:rPr>
                <w:rFonts w:hint="eastAsia" w:ascii="仿宋_GB2312" w:eastAsia="仿宋_GB2312" w:hAnsiTheme="minorHAnsi" w:cstheme="minorBidi"/>
                <w:color w:val="auto"/>
                <w:spacing w:val="4"/>
                <w:kern w:val="2"/>
                <w:sz w:val="24"/>
                <w:szCs w:val="24"/>
                <w:lang w:val="en-US" w:eastAsia="zh-CN" w:bidi="ar-SA"/>
              </w:rPr>
            </w:pPr>
            <w:r>
              <w:rPr>
                <w:rFonts w:hint="eastAsia" w:ascii="仿宋_GB2312" w:eastAsia="仿宋_GB2312"/>
                <w:color w:val="auto"/>
                <w:spacing w:val="4"/>
                <w:sz w:val="24"/>
                <w:szCs w:val="24"/>
                <w:lang w:eastAsia="zh-CN"/>
              </w:rPr>
              <w:t>嫁接后管理</w:t>
            </w:r>
          </w:p>
        </w:tc>
        <w:tc>
          <w:tcPr>
            <w:tcW w:w="1984" w:type="dxa"/>
            <w:vAlign w:val="center"/>
          </w:tcPr>
          <w:p w14:paraId="3C2E7952">
            <w:pPr>
              <w:pStyle w:val="10"/>
              <w:spacing w:after="0"/>
              <w:ind w:left="0" w:leftChars="0" w:firstLine="0" w:firstLineChars="0"/>
              <w:rPr>
                <w:rFonts w:hint="eastAsia" w:ascii="仿宋_GB2312" w:eastAsia="仿宋_GB2312"/>
                <w:color w:val="auto"/>
                <w:sz w:val="24"/>
                <w:szCs w:val="24"/>
              </w:rPr>
            </w:pPr>
            <w:r>
              <w:rPr>
                <w:rFonts w:hint="eastAsia" w:ascii="仿宋_GB2312" w:hAnsi="宋体" w:eastAsia="仿宋_GB2312" w:cs="宋体"/>
                <w:color w:val="auto"/>
                <w:sz w:val="24"/>
                <w:lang w:val="en-US" w:eastAsia="zh-CN"/>
              </w:rPr>
              <w:t>1.</w:t>
            </w:r>
            <w:r>
              <w:rPr>
                <w:rFonts w:hint="eastAsia" w:ascii="仿宋_GB2312" w:eastAsia="仿宋_GB2312"/>
                <w:color w:val="auto"/>
                <w:sz w:val="24"/>
                <w:szCs w:val="24"/>
              </w:rPr>
              <w:t>嫁接1-3天管理</w:t>
            </w:r>
          </w:p>
          <w:p w14:paraId="4CB21A69">
            <w:pPr>
              <w:pStyle w:val="10"/>
              <w:spacing w:after="0"/>
              <w:ind w:left="0" w:leftChars="0" w:firstLine="0" w:firstLineChars="0"/>
              <w:rPr>
                <w:rFonts w:hint="eastAsia" w:ascii="仿宋_GB2312" w:eastAsia="仿宋_GB2312"/>
                <w:color w:val="auto"/>
                <w:sz w:val="24"/>
                <w:szCs w:val="24"/>
              </w:rPr>
            </w:pPr>
            <w:r>
              <w:rPr>
                <w:rFonts w:hint="eastAsia" w:ascii="仿宋_GB2312" w:eastAsia="仿宋_GB2312"/>
                <w:color w:val="auto"/>
                <w:sz w:val="24"/>
                <w:szCs w:val="24"/>
                <w:lang w:val="en-US" w:eastAsia="zh-CN"/>
              </w:rPr>
              <w:t>2.</w:t>
            </w:r>
            <w:r>
              <w:rPr>
                <w:rFonts w:hint="eastAsia" w:ascii="仿宋_GB2312" w:eastAsia="仿宋_GB2312"/>
                <w:color w:val="auto"/>
                <w:sz w:val="24"/>
                <w:szCs w:val="24"/>
              </w:rPr>
              <w:t>嫁接</w:t>
            </w:r>
            <w:r>
              <w:rPr>
                <w:rFonts w:hint="eastAsia" w:ascii="仿宋_GB2312" w:eastAsia="仿宋_GB2312"/>
                <w:color w:val="auto"/>
                <w:sz w:val="24"/>
                <w:szCs w:val="24"/>
                <w:lang w:val="en-US" w:eastAsia="zh-CN"/>
              </w:rPr>
              <w:t>4-6</w:t>
            </w:r>
            <w:r>
              <w:rPr>
                <w:rFonts w:hint="eastAsia" w:ascii="仿宋_GB2312" w:eastAsia="仿宋_GB2312"/>
                <w:color w:val="auto"/>
                <w:sz w:val="24"/>
                <w:szCs w:val="24"/>
              </w:rPr>
              <w:t>天管理</w:t>
            </w:r>
          </w:p>
          <w:p w14:paraId="6091909D">
            <w:pPr>
              <w:pStyle w:val="10"/>
              <w:spacing w:after="0"/>
              <w:ind w:left="0" w:leftChars="0" w:firstLine="0" w:firstLineChars="0"/>
              <w:rPr>
                <w:rFonts w:hint="eastAsia" w:ascii="仿宋_GB2312" w:eastAsia="仿宋_GB2312"/>
                <w:color w:val="auto"/>
                <w:sz w:val="24"/>
                <w:szCs w:val="24"/>
              </w:rPr>
            </w:pPr>
            <w:r>
              <w:rPr>
                <w:rFonts w:hint="eastAsia" w:ascii="仿宋_GB2312" w:eastAsia="仿宋_GB2312"/>
                <w:color w:val="auto"/>
                <w:sz w:val="24"/>
                <w:szCs w:val="24"/>
                <w:lang w:val="en-US" w:eastAsia="zh-CN"/>
              </w:rPr>
              <w:t>3.</w:t>
            </w:r>
            <w:r>
              <w:rPr>
                <w:rFonts w:hint="eastAsia" w:ascii="仿宋_GB2312" w:eastAsia="仿宋_GB2312"/>
                <w:color w:val="auto"/>
                <w:sz w:val="24"/>
                <w:szCs w:val="24"/>
              </w:rPr>
              <w:t>嫁接</w:t>
            </w:r>
            <w:r>
              <w:rPr>
                <w:rFonts w:hint="eastAsia" w:ascii="仿宋_GB2312" w:eastAsia="仿宋_GB2312"/>
                <w:color w:val="auto"/>
                <w:sz w:val="24"/>
                <w:szCs w:val="24"/>
                <w:lang w:val="en-US" w:eastAsia="zh-CN"/>
              </w:rPr>
              <w:t>7-10</w:t>
            </w:r>
            <w:r>
              <w:rPr>
                <w:rFonts w:hint="eastAsia" w:ascii="仿宋_GB2312" w:eastAsia="仿宋_GB2312"/>
                <w:color w:val="auto"/>
                <w:sz w:val="24"/>
                <w:szCs w:val="24"/>
              </w:rPr>
              <w:t>天管理</w:t>
            </w:r>
          </w:p>
          <w:p w14:paraId="1C32A797">
            <w:pPr>
              <w:pStyle w:val="10"/>
              <w:spacing w:after="0"/>
              <w:ind w:left="0" w:leftChars="0" w:firstLine="0" w:firstLineChars="0"/>
              <w:rPr>
                <w:rFonts w:hint="eastAsia" w:ascii="仿宋_GB2312" w:hAnsi="仿宋" w:eastAsia="仿宋_GB2312" w:cs="仿宋"/>
                <w:color w:val="auto"/>
                <w:kern w:val="0"/>
                <w:sz w:val="24"/>
                <w:szCs w:val="24"/>
                <w:lang w:val="en-US" w:eastAsia="zh-CN" w:bidi="zh-CN"/>
              </w:rPr>
            </w:pPr>
            <w:r>
              <w:rPr>
                <w:rFonts w:hint="eastAsia" w:ascii="仿宋_GB2312" w:eastAsia="仿宋_GB2312"/>
                <w:color w:val="auto"/>
                <w:sz w:val="24"/>
                <w:szCs w:val="24"/>
                <w:lang w:val="en-US" w:eastAsia="zh-CN"/>
              </w:rPr>
              <w:t>4.</w:t>
            </w:r>
            <w:r>
              <w:rPr>
                <w:rFonts w:hint="eastAsia" w:ascii="仿宋_GB2312" w:eastAsia="仿宋_GB2312"/>
                <w:color w:val="auto"/>
                <w:sz w:val="24"/>
                <w:szCs w:val="24"/>
              </w:rPr>
              <w:t>嫁接</w:t>
            </w:r>
            <w:r>
              <w:rPr>
                <w:rFonts w:hint="eastAsia" w:ascii="仿宋_GB2312" w:eastAsia="仿宋_GB2312"/>
                <w:color w:val="auto"/>
                <w:sz w:val="24"/>
                <w:szCs w:val="24"/>
                <w:lang w:val="en-US" w:eastAsia="zh-CN"/>
              </w:rPr>
              <w:t>11-15</w:t>
            </w:r>
            <w:r>
              <w:rPr>
                <w:rFonts w:hint="eastAsia" w:ascii="仿宋_GB2312" w:eastAsia="仿宋_GB2312"/>
                <w:color w:val="auto"/>
                <w:sz w:val="24"/>
                <w:szCs w:val="24"/>
              </w:rPr>
              <w:t>天管理</w:t>
            </w:r>
          </w:p>
        </w:tc>
        <w:tc>
          <w:tcPr>
            <w:tcW w:w="3969" w:type="dxa"/>
            <w:vAlign w:val="center"/>
          </w:tcPr>
          <w:p w14:paraId="0D6B7137">
            <w:pPr>
              <w:pStyle w:val="10"/>
              <w:spacing w:after="0" w:line="420" w:lineRule="exact"/>
              <w:ind w:left="0" w:leftChars="0" w:firstLine="0" w:firstLineChars="0"/>
              <w:rPr>
                <w:rFonts w:hint="eastAsia" w:ascii="仿宋_GB2312" w:hAnsi="仿宋" w:eastAsia="仿宋_GB2312" w:cs="仿宋"/>
                <w:color w:val="auto"/>
                <w:w w:val="95"/>
                <w:kern w:val="0"/>
                <w:sz w:val="24"/>
                <w:szCs w:val="24"/>
                <w:lang w:val="en-US" w:eastAsia="zh-CN" w:bidi="zh-CN"/>
              </w:rPr>
            </w:pPr>
            <w:r>
              <w:rPr>
                <w:rFonts w:hint="eastAsia" w:ascii="仿宋_GB2312" w:eastAsia="仿宋_GB2312"/>
                <w:color w:val="auto"/>
                <w:spacing w:val="10"/>
                <w:sz w:val="24"/>
                <w:szCs w:val="24"/>
              </w:rPr>
              <w:t>小气候环境调控：指标包括温度、光照强度、空气</w:t>
            </w:r>
            <w:r>
              <w:rPr>
                <w:rFonts w:hint="eastAsia" w:ascii="仿宋_GB2312" w:eastAsia="仿宋_GB2312"/>
                <w:color w:val="auto"/>
                <w:sz w:val="24"/>
                <w:szCs w:val="24"/>
              </w:rPr>
              <w:t>湿度。</w:t>
            </w:r>
            <w:r>
              <w:rPr>
                <w:rFonts w:hint="eastAsia" w:ascii="仿宋_GB2312" w:eastAsia="仿宋_GB2312"/>
                <w:color w:val="auto"/>
                <w:spacing w:val="32"/>
                <w:sz w:val="24"/>
                <w:szCs w:val="24"/>
              </w:rPr>
              <w:t>苗情观测及</w:t>
            </w:r>
            <w:r>
              <w:rPr>
                <w:rFonts w:hint="eastAsia" w:ascii="仿宋_GB2312" w:eastAsia="仿宋_GB2312"/>
                <w:color w:val="auto"/>
                <w:sz w:val="24"/>
                <w:szCs w:val="24"/>
              </w:rPr>
              <w:t>出现问题处理</w:t>
            </w:r>
          </w:p>
        </w:tc>
        <w:tc>
          <w:tcPr>
            <w:tcW w:w="2288" w:type="dxa"/>
            <w:vAlign w:val="center"/>
          </w:tcPr>
          <w:p w14:paraId="68D55B3F">
            <w:pPr>
              <w:pStyle w:val="10"/>
              <w:spacing w:after="0" w:line="420" w:lineRule="exact"/>
              <w:ind w:left="0" w:leftChars="0" w:firstLine="0" w:firstLineChars="0"/>
              <w:rPr>
                <w:rFonts w:hint="eastAsia" w:ascii="Times New Roman" w:hAnsi="Times New Roman" w:eastAsia="仿宋_GB2312" w:cs="Times New Roman"/>
                <w:color w:val="auto"/>
                <w:sz w:val="24"/>
                <w:szCs w:val="24"/>
              </w:rPr>
            </w:pPr>
            <w:r>
              <w:rPr>
                <w:rFonts w:hint="eastAsia" w:ascii="Times New Roman" w:hAnsi="Times New Roman" w:eastAsia="仿宋_GB2312" w:cs="Times New Roman"/>
                <w:color w:val="auto"/>
                <w:spacing w:val="17"/>
                <w:sz w:val="24"/>
                <w:szCs w:val="24"/>
              </w:rPr>
              <w:t>温光湿度控制在合理范</w:t>
            </w:r>
            <w:r>
              <w:rPr>
                <w:rFonts w:hint="eastAsia" w:ascii="Times New Roman" w:hAnsi="Times New Roman" w:eastAsia="仿宋_GB2312" w:cs="Times New Roman"/>
                <w:color w:val="auto"/>
                <w:sz w:val="24"/>
                <w:szCs w:val="24"/>
              </w:rPr>
              <w:t>围内，得</w:t>
            </w:r>
            <w:r>
              <w:rPr>
                <w:rFonts w:ascii="Times New Roman" w:hAnsi="Times New Roman" w:eastAsia="仿宋_GB2312" w:cs="Times New Roman"/>
                <w:color w:val="auto"/>
                <w:sz w:val="24"/>
                <w:szCs w:val="24"/>
              </w:rPr>
              <w:t>1.5</w:t>
            </w:r>
            <w:r>
              <w:rPr>
                <w:rFonts w:hint="eastAsia" w:ascii="Times New Roman" w:hAnsi="Times New Roman" w:eastAsia="仿宋_GB2312" w:cs="Times New Roman"/>
                <w:color w:val="auto"/>
                <w:sz w:val="24"/>
                <w:szCs w:val="24"/>
              </w:rPr>
              <w:t>分，错</w:t>
            </w:r>
            <w:r>
              <w:rPr>
                <w:rFonts w:ascii="Times New Roman" w:hAnsi="Times New Roman" w:eastAsia="仿宋_GB2312" w:cs="Times New Roman"/>
                <w:color w:val="auto"/>
                <w:sz w:val="24"/>
                <w:szCs w:val="24"/>
              </w:rPr>
              <w:t>1</w:t>
            </w:r>
            <w:r>
              <w:rPr>
                <w:rFonts w:hint="eastAsia" w:ascii="Times New Roman" w:hAnsi="Times New Roman" w:eastAsia="仿宋_GB2312" w:cs="Times New Roman"/>
                <w:color w:val="auto"/>
                <w:sz w:val="24"/>
                <w:szCs w:val="24"/>
              </w:rPr>
              <w:t>项扣</w:t>
            </w:r>
            <w:r>
              <w:rPr>
                <w:rFonts w:ascii="Times New Roman" w:hAnsi="Times New Roman" w:eastAsia="仿宋_GB2312" w:cs="Times New Roman"/>
                <w:color w:val="auto"/>
                <w:sz w:val="24"/>
                <w:szCs w:val="24"/>
              </w:rPr>
              <w:t>0.5</w:t>
            </w:r>
            <w:r>
              <w:rPr>
                <w:rFonts w:hint="eastAsia" w:ascii="Times New Roman" w:hAnsi="Times New Roman" w:eastAsia="仿宋_GB2312" w:cs="Times New Roman"/>
                <w:color w:val="auto"/>
                <w:sz w:val="24"/>
                <w:szCs w:val="24"/>
              </w:rPr>
              <w:t>分；</w:t>
            </w:r>
            <w:r>
              <w:rPr>
                <w:rFonts w:hint="eastAsia" w:ascii="Times New Roman" w:hAnsi="Times New Roman" w:eastAsia="仿宋_GB2312" w:cs="Times New Roman"/>
                <w:color w:val="auto"/>
                <w:spacing w:val="14"/>
                <w:sz w:val="24"/>
                <w:szCs w:val="24"/>
              </w:rPr>
              <w:t>正确处理养护期出现的</w:t>
            </w:r>
            <w:r>
              <w:rPr>
                <w:rFonts w:hint="eastAsia" w:ascii="Times New Roman" w:hAnsi="Times New Roman" w:eastAsia="仿宋_GB2312" w:cs="Times New Roman"/>
                <w:color w:val="auto"/>
                <w:sz w:val="24"/>
                <w:szCs w:val="24"/>
              </w:rPr>
              <w:t>问题得</w:t>
            </w:r>
            <w:r>
              <w:rPr>
                <w:rFonts w:ascii="Times New Roman" w:hAnsi="Times New Roman" w:eastAsia="仿宋_GB2312" w:cs="Times New Roman"/>
                <w:color w:val="auto"/>
                <w:sz w:val="24"/>
                <w:szCs w:val="24"/>
              </w:rPr>
              <w:t>0.5</w:t>
            </w:r>
            <w:r>
              <w:rPr>
                <w:rFonts w:hint="eastAsia" w:ascii="Times New Roman" w:hAnsi="Times New Roman" w:eastAsia="仿宋_GB2312" w:cs="Times New Roman"/>
                <w:color w:val="auto"/>
                <w:sz w:val="24"/>
                <w:szCs w:val="24"/>
              </w:rPr>
              <w:t>分</w:t>
            </w:r>
          </w:p>
          <w:p w14:paraId="2D21511D">
            <w:pPr>
              <w:pStyle w:val="10"/>
              <w:spacing w:after="0" w:line="420" w:lineRule="exact"/>
              <w:ind w:left="0" w:leftChars="0" w:firstLine="0" w:firstLineChars="0"/>
              <w:rPr>
                <w:rFonts w:hint="eastAsia" w:ascii="Times New Roman" w:hAnsi="Times New Roman" w:eastAsia="仿宋_GB2312" w:cs="Times New Roman"/>
                <w:color w:val="auto"/>
                <w:kern w:val="0"/>
                <w:sz w:val="24"/>
                <w:szCs w:val="24"/>
                <w:lang w:val="en-US" w:eastAsia="zh-CN" w:bidi="zh-CN"/>
              </w:rPr>
            </w:pPr>
            <w:r>
              <w:rPr>
                <w:rFonts w:hint="eastAsia" w:ascii="Times New Roman" w:hAnsi="Times New Roman" w:eastAsia="仿宋_GB2312" w:cs="Times New Roman"/>
                <w:color w:val="auto"/>
                <w:sz w:val="24"/>
                <w:szCs w:val="24"/>
                <w:lang w:val="en-US" w:eastAsia="zh-CN"/>
              </w:rPr>
              <w:t>每个阶段2分，扣完为止。</w:t>
            </w:r>
          </w:p>
        </w:tc>
      </w:tr>
      <w:tr w14:paraId="68124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Merge w:val="restart"/>
            <w:vAlign w:val="center"/>
          </w:tcPr>
          <w:p w14:paraId="4BDC10D1">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赛项技术规范</w:t>
            </w:r>
          </w:p>
        </w:tc>
        <w:tc>
          <w:tcPr>
            <w:tcW w:w="3119" w:type="dxa"/>
            <w:gridSpan w:val="2"/>
            <w:vAlign w:val="center"/>
          </w:tcPr>
          <w:p w14:paraId="1ABF29D7">
            <w:pPr>
              <w:pStyle w:val="10"/>
              <w:spacing w:after="0"/>
              <w:ind w:left="0" w:leftChars="0" w:firstLine="0" w:firstLineChars="0"/>
              <w:rPr>
                <w:rFonts w:hint="eastAsia" w:eastAsia="仿宋"/>
                <w:color w:val="auto"/>
                <w:sz w:val="24"/>
                <w:szCs w:val="24"/>
                <w:lang w:val="en-US"/>
              </w:rPr>
            </w:pPr>
            <w:r>
              <w:rPr>
                <w:rFonts w:hint="eastAsia" w:eastAsia="仿宋"/>
                <w:color w:val="auto"/>
                <w:sz w:val="24"/>
                <w:szCs w:val="24"/>
                <w:lang w:val="en-US"/>
              </w:rPr>
              <w:t>涉及专业教学要求</w:t>
            </w:r>
          </w:p>
        </w:tc>
        <w:tc>
          <w:tcPr>
            <w:tcW w:w="8241" w:type="dxa"/>
            <w:gridSpan w:val="3"/>
            <w:vAlign w:val="center"/>
          </w:tcPr>
          <w:p w14:paraId="0E61A5A2">
            <w:pPr>
              <w:adjustRightInd w:val="0"/>
              <w:snapToGrid w:val="0"/>
              <w:spacing w:line="360" w:lineRule="auto"/>
              <w:ind w:right="101"/>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1.常见蔬菜适宜嫁接的砧木和接穗的选择和配对；</w:t>
            </w:r>
          </w:p>
          <w:p w14:paraId="0EB911D0">
            <w:pPr>
              <w:adjustRightInd w:val="0"/>
              <w:snapToGrid w:val="0"/>
              <w:spacing w:line="360" w:lineRule="auto"/>
              <w:ind w:right="101"/>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2.当前蔬菜生产中应用普遍的顶插接、劈接等嫁接技能。</w:t>
            </w:r>
          </w:p>
          <w:p w14:paraId="26210E11">
            <w:pPr>
              <w:adjustRightInd w:val="0"/>
              <w:snapToGrid w:val="0"/>
              <w:spacing w:line="360" w:lineRule="auto"/>
              <w:ind w:right="101"/>
              <w:rPr>
                <w:rFonts w:hint="default" w:eastAsia="仿宋_GB2312"/>
                <w:color w:val="auto"/>
                <w:lang w:val="en-US" w:eastAsia="zh-CN"/>
              </w:rPr>
            </w:pPr>
            <w:r>
              <w:rPr>
                <w:rFonts w:hint="eastAsia" w:ascii="仿宋_GB2312" w:hAnsi="仿宋_GB2312" w:eastAsia="仿宋_GB2312" w:cs="仿宋_GB2312"/>
                <w:color w:val="auto"/>
                <w:spacing w:val="0"/>
                <w:sz w:val="24"/>
                <w:szCs w:val="24"/>
                <w:lang w:val="en-US" w:eastAsia="zh-CN"/>
              </w:rPr>
              <w:t>3.</w:t>
            </w:r>
            <w:r>
              <w:rPr>
                <w:rFonts w:hint="eastAsia" w:ascii="仿宋_GB2312" w:hAnsi="仿宋_GB2312" w:eastAsia="仿宋_GB2312" w:cs="仿宋_GB2312"/>
                <w:color w:val="auto"/>
                <w:spacing w:val="0"/>
                <w:sz w:val="24"/>
                <w:szCs w:val="24"/>
                <w:lang w:eastAsia="zh-CN"/>
              </w:rPr>
              <w:t>农业物联网应用相关知识技能</w:t>
            </w:r>
          </w:p>
        </w:tc>
      </w:tr>
      <w:tr w14:paraId="73173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Merge w:val="continue"/>
            <w:vAlign w:val="center"/>
          </w:tcPr>
          <w:p w14:paraId="66C82048">
            <w:pPr>
              <w:pStyle w:val="10"/>
              <w:adjustRightInd w:val="0"/>
              <w:snapToGrid w:val="0"/>
              <w:spacing w:after="0"/>
              <w:ind w:left="0" w:leftChars="0" w:firstLine="0" w:firstLineChars="0"/>
              <w:jc w:val="center"/>
              <w:rPr>
                <w:rFonts w:hint="eastAsia" w:eastAsia="仿宋"/>
                <w:b/>
                <w:color w:val="000000"/>
                <w:sz w:val="24"/>
                <w:szCs w:val="24"/>
                <w:lang w:val="en-US"/>
              </w:rPr>
            </w:pPr>
          </w:p>
        </w:tc>
        <w:tc>
          <w:tcPr>
            <w:tcW w:w="3119" w:type="dxa"/>
            <w:gridSpan w:val="2"/>
            <w:vAlign w:val="center"/>
          </w:tcPr>
          <w:p w14:paraId="0A8F457C">
            <w:pPr>
              <w:pStyle w:val="10"/>
              <w:spacing w:after="0"/>
              <w:ind w:left="0" w:leftChars="0" w:firstLine="0" w:firstLineChars="0"/>
              <w:rPr>
                <w:rFonts w:hint="eastAsia" w:eastAsia="仿宋"/>
                <w:color w:val="000000"/>
                <w:sz w:val="24"/>
                <w:szCs w:val="24"/>
                <w:lang w:val="en-US"/>
              </w:rPr>
            </w:pPr>
            <w:r>
              <w:rPr>
                <w:rFonts w:hint="eastAsia" w:eastAsia="仿宋"/>
                <w:color w:val="000000"/>
                <w:sz w:val="24"/>
                <w:szCs w:val="24"/>
                <w:lang w:val="en-US"/>
              </w:rPr>
              <w:t>遵循国家标准和行业标准</w:t>
            </w:r>
          </w:p>
        </w:tc>
        <w:tc>
          <w:tcPr>
            <w:tcW w:w="8241" w:type="dxa"/>
            <w:gridSpan w:val="3"/>
            <w:vAlign w:val="center"/>
          </w:tcPr>
          <w:p w14:paraId="32AE787E">
            <w:pPr>
              <w:adjustRightInd w:val="0"/>
              <w:snapToGrid w:val="0"/>
              <w:spacing w:line="360" w:lineRule="auto"/>
              <w:ind w:right="101"/>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xml:space="preserve">1.引用职业标准 </w:t>
            </w:r>
          </w:p>
          <w:p w14:paraId="281F3637">
            <w:pPr>
              <w:adjustRightInd w:val="0"/>
              <w:snapToGrid w:val="0"/>
              <w:spacing w:line="360" w:lineRule="auto"/>
              <w:ind w:right="101" w:firstLine="240" w:firstLineChars="10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设施蔬菜生产职业技能等级证书（中级）</w:t>
            </w:r>
          </w:p>
          <w:p w14:paraId="0D6C7067">
            <w:pPr>
              <w:adjustRightInd w:val="0"/>
              <w:snapToGrid w:val="0"/>
              <w:spacing w:line="360" w:lineRule="auto"/>
              <w:ind w:right="101"/>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2.引用技术标准</w:t>
            </w:r>
          </w:p>
          <w:p w14:paraId="739E721E">
            <w:pPr>
              <w:adjustRightInd w:val="0"/>
              <w:snapToGrid w:val="0"/>
              <w:spacing w:line="360" w:lineRule="auto"/>
              <w:ind w:right="101" w:firstLine="240" w:firstLineChars="10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《蔬菜穴盘育苗通则》（NY/T2119-2012）</w:t>
            </w:r>
          </w:p>
          <w:p w14:paraId="6A4623C1">
            <w:pPr>
              <w:adjustRightInd w:val="0"/>
              <w:snapToGrid w:val="0"/>
              <w:spacing w:line="360" w:lineRule="auto"/>
              <w:ind w:right="101" w:firstLine="240" w:firstLineChars="100"/>
              <w:rPr>
                <w:rFonts w:hint="eastAsia" w:ascii="仿宋_GB2312" w:eastAsia="仿宋_GB2312"/>
                <w:spacing w:val="-4"/>
                <w:sz w:val="24"/>
                <w:szCs w:val="24"/>
              </w:rPr>
            </w:pPr>
            <w:r>
              <w:rPr>
                <w:rFonts w:hint="eastAsia" w:ascii="仿宋_GB2312" w:hAnsi="仿宋_GB2312" w:eastAsia="仿宋_GB2312" w:cs="仿宋_GB2312"/>
                <w:sz w:val="24"/>
                <w:szCs w:val="24"/>
              </w:rPr>
              <w:t>《茄果类蔬菜穴盘育苗技术规程》（NY/T2312-2013）</w:t>
            </w:r>
          </w:p>
        </w:tc>
      </w:tr>
      <w:tr w14:paraId="578D4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Align w:val="center"/>
          </w:tcPr>
          <w:p w14:paraId="1085D1DF">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赛项赛场准备</w:t>
            </w:r>
          </w:p>
        </w:tc>
        <w:tc>
          <w:tcPr>
            <w:tcW w:w="11360" w:type="dxa"/>
            <w:gridSpan w:val="5"/>
            <w:vAlign w:val="center"/>
          </w:tcPr>
          <w:p w14:paraId="26DDE935">
            <w:pPr>
              <w:pStyle w:val="10"/>
              <w:spacing w:after="0" w:line="420" w:lineRule="exact"/>
              <w:ind w:left="0" w:leftChars="0" w:firstLine="0" w:firstLineChars="0"/>
              <w:rPr>
                <w:rFonts w:hint="eastAsia" w:ascii="仿宋_GB2312" w:eastAsia="仿宋_GB2312"/>
                <w:sz w:val="24"/>
                <w:szCs w:val="24"/>
                <w:lang w:val="en-US"/>
              </w:rPr>
            </w:pPr>
            <w:r>
              <w:rPr>
                <w:rFonts w:hint="eastAsia" w:ascii="仿宋_GB2312" w:eastAsia="仿宋_GB2312"/>
                <w:sz w:val="24"/>
                <w:szCs w:val="24"/>
                <w:lang w:val="en-US"/>
              </w:rPr>
              <w:t>1.场地和环境： 根据参赛报名人数设置赛场工位和配套用具，占地面积约1000m2，设置竞赛区、服务区、技术支持区。现场保证良好的采光、照明和通风，提供稳定的水、电和供电应急设备，竞赛场地配置2.4G频段以上局域网。同时提供指导教师休息场所和竞赛观摩室。在技能操作模块，每个竞赛操作台上配有相应的材料和工具，并配有清洁工具。每个赛场需要设置至少2个备用工位，并配套竞赛材料和用具。</w:t>
            </w:r>
          </w:p>
          <w:p w14:paraId="546C17CE">
            <w:pPr>
              <w:pStyle w:val="10"/>
              <w:spacing w:after="0" w:line="420" w:lineRule="exact"/>
              <w:ind w:left="0" w:leftChars="0" w:firstLine="0" w:firstLineChars="0"/>
              <w:rPr>
                <w:rFonts w:hint="eastAsia" w:ascii="仿宋_GB2312" w:eastAsia="仿宋_GB2312"/>
                <w:sz w:val="24"/>
                <w:szCs w:val="24"/>
                <w:lang w:val="en-US"/>
              </w:rPr>
            </w:pPr>
            <w:r>
              <w:rPr>
                <w:rFonts w:hint="eastAsia" w:ascii="仿宋_GB2312" w:eastAsia="仿宋_GB2312"/>
                <w:sz w:val="24"/>
                <w:szCs w:val="24"/>
                <w:lang w:val="en-US"/>
              </w:rPr>
              <w:t>2．材料和设备：竞赛选用的营养液配制试剂和仪器、育苗材料、嫁接工具等与生产企业一致，符合学生就业岗位要求，由承办单位统一准备。每组准备材料、仪器设备如下：</w:t>
            </w:r>
          </w:p>
          <w:p w14:paraId="0322F67C">
            <w:pPr>
              <w:pStyle w:val="10"/>
              <w:spacing w:after="0" w:line="420" w:lineRule="exact"/>
              <w:ind w:left="0" w:leftChars="0" w:firstLine="0" w:firstLineChars="0"/>
              <w:rPr>
                <w:rFonts w:hint="eastAsia" w:ascii="仿宋_GB2312" w:eastAsia="仿宋_GB2312"/>
                <w:sz w:val="24"/>
                <w:szCs w:val="24"/>
                <w:lang w:val="en-US"/>
              </w:rPr>
            </w:pPr>
            <w:r>
              <w:rPr>
                <w:rFonts w:hint="eastAsia" w:ascii="仿宋_GB2312" w:eastAsia="仿宋_GB2312"/>
                <w:sz w:val="24"/>
                <w:szCs w:val="24"/>
                <w:lang w:val="en-US"/>
              </w:rPr>
              <w:t>（</w:t>
            </w:r>
            <w:r>
              <w:rPr>
                <w:rFonts w:hint="eastAsia" w:ascii="仿宋_GB2312" w:eastAsia="仿宋_GB2312"/>
                <w:sz w:val="24"/>
                <w:szCs w:val="24"/>
                <w:lang w:val="en-US" w:eastAsia="zh-CN"/>
              </w:rPr>
              <w:t>1</w:t>
            </w:r>
            <w:r>
              <w:rPr>
                <w:rFonts w:hint="eastAsia" w:ascii="仿宋_GB2312" w:eastAsia="仿宋_GB2312"/>
                <w:sz w:val="24"/>
                <w:szCs w:val="24"/>
                <w:lang w:val="en-US"/>
              </w:rPr>
              <w:t>）嫁接操作材料。茄子砧木采用生长健壮、无病虫害的托鲁巴姆50孔穴盘苗，接穗采用生长健壮、无病虫害的适龄茄子苗；黄瓜砧木采用生长健壮、无病虫害的南瓜 50 孔穴盘苗，接穗采用生长健壮、无病虫害适龄黄瓜苗。</w:t>
            </w:r>
          </w:p>
          <w:p w14:paraId="301B96E3">
            <w:pPr>
              <w:pStyle w:val="10"/>
              <w:spacing w:after="0" w:line="420" w:lineRule="exact"/>
              <w:ind w:left="0" w:leftChars="0" w:firstLine="0" w:firstLineChars="0"/>
              <w:rPr>
                <w:rFonts w:hint="eastAsia" w:ascii="仿宋_GB2312" w:eastAsia="仿宋_GB2312"/>
                <w:sz w:val="24"/>
                <w:szCs w:val="24"/>
                <w:lang w:val="en-US"/>
              </w:rPr>
            </w:pPr>
            <w:r>
              <w:rPr>
                <w:rFonts w:hint="eastAsia" w:ascii="仿宋_GB2312" w:eastAsia="仿宋_GB2312"/>
                <w:sz w:val="24"/>
                <w:szCs w:val="24"/>
                <w:lang w:val="en-US"/>
              </w:rPr>
              <w:t>（</w:t>
            </w:r>
            <w:r>
              <w:rPr>
                <w:rFonts w:hint="eastAsia" w:ascii="仿宋_GB2312" w:eastAsia="仿宋_GB2312"/>
                <w:sz w:val="24"/>
                <w:szCs w:val="24"/>
                <w:lang w:val="en-US" w:eastAsia="zh-CN"/>
              </w:rPr>
              <w:t>2</w:t>
            </w:r>
            <w:r>
              <w:rPr>
                <w:rFonts w:hint="eastAsia" w:ascii="仿宋_GB2312" w:eastAsia="仿宋_GB2312"/>
                <w:sz w:val="24"/>
                <w:szCs w:val="24"/>
                <w:lang w:val="en-US"/>
              </w:rPr>
              <w:t>）工具。嫁接操作台(长宽高为2.2m*1m*0.75m、配备长方凳)、嫁接刀（采用双面剃须刀片，将刀片沿中线纵向拆成两半，一段用胶布包扎）、单面刀片、4种规格的嫁接竹签（长度10㎝，直径分别为1.5mm、2.0mm、2.5mm、3.0mm竹签，顶端单面斜切面长度5～6㎜）、嫁接夹（平口塑料嫁接夹）、毛巾、瓷盘、培养皿、手持小型喷雾器、75%酒精溶液、棉球、橡胶手套、笔1支等。</w:t>
            </w:r>
          </w:p>
          <w:p w14:paraId="23E43966">
            <w:pPr>
              <w:pStyle w:val="10"/>
              <w:spacing w:after="0" w:line="420" w:lineRule="exact"/>
              <w:ind w:left="0" w:leftChars="0" w:firstLine="0" w:firstLineChars="0"/>
              <w:rPr>
                <w:rFonts w:hint="eastAsia" w:ascii="仿宋_GB2312" w:eastAsia="仿宋_GB2312"/>
                <w:sz w:val="24"/>
                <w:szCs w:val="24"/>
                <w:lang w:val="en-US" w:eastAsia="zh-CN"/>
              </w:rPr>
            </w:pPr>
            <w:r>
              <w:rPr>
                <w:rFonts w:hint="eastAsia" w:ascii="仿宋_GB2312" w:eastAsia="仿宋_GB2312"/>
                <w:sz w:val="24"/>
                <w:szCs w:val="24"/>
                <w:lang w:val="en-US" w:eastAsia="zh-CN"/>
              </w:rPr>
              <w:t>（3）平台设备  农业物联网模拟操作软件、操作面板及设备。</w:t>
            </w:r>
          </w:p>
        </w:tc>
      </w:tr>
      <w:tr w14:paraId="52646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38" w:type="dxa"/>
            <w:vAlign w:val="center"/>
          </w:tcPr>
          <w:p w14:paraId="29E890CC">
            <w:pPr>
              <w:pStyle w:val="10"/>
              <w:adjustRightInd w:val="0"/>
              <w:snapToGrid w:val="0"/>
              <w:spacing w:after="0"/>
              <w:ind w:left="0" w:leftChars="0" w:firstLine="0" w:firstLineChars="0"/>
              <w:jc w:val="center"/>
              <w:rPr>
                <w:rFonts w:hint="eastAsia" w:eastAsia="仿宋"/>
                <w:b/>
                <w:color w:val="000000"/>
                <w:sz w:val="24"/>
                <w:szCs w:val="24"/>
                <w:lang w:val="en-US"/>
              </w:rPr>
            </w:pPr>
            <w:r>
              <w:rPr>
                <w:rFonts w:hint="eastAsia" w:eastAsia="仿宋"/>
                <w:b/>
                <w:color w:val="000000"/>
                <w:sz w:val="24"/>
                <w:szCs w:val="24"/>
                <w:lang w:val="en-US"/>
              </w:rPr>
              <w:t>注意事项</w:t>
            </w:r>
          </w:p>
        </w:tc>
        <w:tc>
          <w:tcPr>
            <w:tcW w:w="11360" w:type="dxa"/>
            <w:gridSpan w:val="5"/>
            <w:vAlign w:val="center"/>
          </w:tcPr>
          <w:p w14:paraId="7BC11FAB">
            <w:pPr>
              <w:spacing w:before="44" w:line="355" w:lineRule="auto"/>
              <w:ind w:firstLine="480" w:firstLineChars="200"/>
              <w:rPr>
                <w:rFonts w:ascii="仿宋_GB2312" w:eastAsia="仿宋_GB2312"/>
                <w:spacing w:val="5"/>
                <w:sz w:val="28"/>
                <w:szCs w:val="28"/>
              </w:rPr>
            </w:pPr>
            <w:r>
              <w:rPr>
                <w:rFonts w:hint="eastAsia" w:ascii="仿宋_GB2312" w:hAnsi="仿宋" w:eastAsia="仿宋_GB2312" w:cs="仿宋"/>
                <w:sz w:val="24"/>
                <w:szCs w:val="24"/>
                <w:lang w:bidi="zh-CN"/>
              </w:rPr>
              <w:t>为防止比赛中可能出现头晕、恶心、呕吐、受伤等意外，需配备现场医疗服务队，轻者在现场进行处理，重者送往医院救治。</w:t>
            </w:r>
          </w:p>
        </w:tc>
      </w:tr>
    </w:tbl>
    <w:p w14:paraId="6DA34902"/>
    <w:p w14:paraId="5B4ACB95">
      <w:pPr>
        <w:widowControl/>
        <w:jc w:val="left"/>
        <w:rPr>
          <w:rFonts w:ascii="黑体" w:hAnsi="黑体" w:eastAsia="黑体" w:cs="仿宋"/>
          <w:kern w:val="0"/>
          <w:sz w:val="36"/>
          <w:szCs w:val="36"/>
        </w:rPr>
      </w:pPr>
      <w:r>
        <w:rPr>
          <w:rFonts w:ascii="黑体" w:hAnsi="黑体" w:eastAsia="黑体" w:cs="仿宋"/>
          <w:kern w:val="0"/>
          <w:sz w:val="36"/>
          <w:szCs w:val="36"/>
        </w:rPr>
        <w:br w:type="page"/>
      </w:r>
    </w:p>
    <w:p w14:paraId="31E9F9AC">
      <w:pPr>
        <w:autoSpaceDE w:val="0"/>
        <w:autoSpaceDN w:val="0"/>
        <w:adjustRightInd w:val="0"/>
        <w:jc w:val="center"/>
        <w:rPr>
          <w:rFonts w:ascii="黑体" w:hAnsi="黑体" w:eastAsia="黑体" w:cs="仿宋"/>
          <w:kern w:val="0"/>
          <w:sz w:val="36"/>
          <w:szCs w:val="36"/>
        </w:rPr>
        <w:sectPr>
          <w:pgSz w:w="16838" w:h="11906" w:orient="landscape"/>
          <w:pgMar w:top="1800" w:right="1440" w:bottom="1800" w:left="1440" w:header="851" w:footer="992" w:gutter="0"/>
          <w:cols w:space="425" w:num="1"/>
          <w:docGrid w:type="lines" w:linePitch="312" w:charSpace="0"/>
        </w:sectPr>
      </w:pPr>
    </w:p>
    <w:p w14:paraId="081BE74A">
      <w:pPr>
        <w:autoSpaceDE w:val="0"/>
        <w:autoSpaceDN w:val="0"/>
        <w:adjustRightInd w:val="0"/>
        <w:jc w:val="center"/>
        <w:rPr>
          <w:rFonts w:ascii="黑体" w:hAnsi="黑体" w:eastAsia="黑体" w:cs="仿宋"/>
          <w:kern w:val="0"/>
          <w:sz w:val="36"/>
          <w:szCs w:val="36"/>
        </w:rPr>
      </w:pPr>
      <w:r>
        <w:rPr>
          <w:rFonts w:hint="eastAsia" w:ascii="黑体" w:hAnsi="黑体" w:eastAsia="黑体" w:cs="仿宋"/>
          <w:kern w:val="0"/>
          <w:sz w:val="36"/>
          <w:szCs w:val="36"/>
        </w:rPr>
        <w:t xml:space="preserve">  </w:t>
      </w:r>
      <w:r>
        <w:rPr>
          <w:rFonts w:hint="eastAsia" w:ascii="黑体" w:hAnsi="黑体" w:eastAsia="黑体" w:cs="仿宋"/>
          <w:kern w:val="0"/>
          <w:sz w:val="36"/>
          <w:szCs w:val="36"/>
          <w:lang w:val="en-US" w:eastAsia="zh-CN"/>
        </w:rPr>
        <w:t>2025年河北省</w:t>
      </w:r>
      <w:r>
        <w:rPr>
          <w:rFonts w:hint="eastAsia" w:ascii="黑体" w:hAnsi="黑体" w:eastAsia="黑体" w:cs="仿宋"/>
          <w:kern w:val="0"/>
          <w:sz w:val="36"/>
          <w:szCs w:val="36"/>
        </w:rPr>
        <w:t>职业院校技能大赛</w:t>
      </w:r>
    </w:p>
    <w:p w14:paraId="2E493F44">
      <w:pPr>
        <w:autoSpaceDE w:val="0"/>
        <w:autoSpaceDN w:val="0"/>
        <w:adjustRightInd w:val="0"/>
        <w:jc w:val="center"/>
        <w:rPr>
          <w:rFonts w:ascii="黑体" w:hAnsi="黑体" w:eastAsia="黑体" w:cs="仿宋"/>
          <w:kern w:val="0"/>
          <w:sz w:val="36"/>
          <w:szCs w:val="36"/>
        </w:rPr>
      </w:pPr>
      <w:r>
        <w:rPr>
          <w:rFonts w:hint="eastAsia" w:ascii="黑体" w:hAnsi="黑体" w:eastAsia="黑体" w:cs="仿宋"/>
          <w:kern w:val="0"/>
          <w:sz w:val="36"/>
          <w:szCs w:val="36"/>
        </w:rPr>
        <w:t>植物嫁接赛项理论测试试题库（公布）</w:t>
      </w:r>
    </w:p>
    <w:p w14:paraId="6E6D02D6">
      <w:pPr>
        <w:autoSpaceDE w:val="0"/>
        <w:autoSpaceDN w:val="0"/>
        <w:adjustRightInd w:val="0"/>
        <w:jc w:val="center"/>
        <w:rPr>
          <w:rFonts w:ascii="仿宋_GB2312" w:eastAsia="仿宋_GB2312" w:cs="仿宋"/>
          <w:kern w:val="0"/>
          <w:sz w:val="28"/>
          <w:szCs w:val="28"/>
        </w:rPr>
      </w:pPr>
      <w:r>
        <w:rPr>
          <w:rFonts w:hint="eastAsia" w:ascii="仿宋_GB2312" w:eastAsia="仿宋_GB2312" w:cs="仿宋"/>
          <w:kern w:val="0"/>
          <w:sz w:val="28"/>
          <w:szCs w:val="28"/>
        </w:rPr>
        <w:t>（单选题370个；多选题170个；判断题160个）</w:t>
      </w:r>
    </w:p>
    <w:p w14:paraId="3F75461A">
      <w:pPr>
        <w:autoSpaceDE w:val="0"/>
        <w:autoSpaceDN w:val="0"/>
        <w:adjustRightInd w:val="0"/>
        <w:jc w:val="left"/>
        <w:outlineLvl w:val="0"/>
        <w:rPr>
          <w:rFonts w:ascii="仿宋_GB2312" w:eastAsia="仿宋_GB2312" w:cs="仿宋"/>
          <w:b/>
          <w:kern w:val="0"/>
          <w:sz w:val="28"/>
          <w:szCs w:val="28"/>
        </w:rPr>
      </w:pPr>
      <w:r>
        <w:rPr>
          <w:rFonts w:hint="eastAsia" w:ascii="仿宋_GB2312" w:eastAsia="仿宋_GB2312" w:cs="仿宋"/>
          <w:b/>
          <w:kern w:val="0"/>
          <w:sz w:val="28"/>
          <w:szCs w:val="28"/>
        </w:rPr>
        <w:t>一、单选题</w:t>
      </w:r>
    </w:p>
    <w:p w14:paraId="0421BF8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1.一般来说，大多数蔬菜最适宜的营养液温度为（  ）。</w:t>
      </w:r>
    </w:p>
    <w:p w14:paraId="1F45535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A.10～13℃</w:t>
      </w:r>
    </w:p>
    <w:p w14:paraId="03BCF37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B.13～15℃         </w:t>
      </w:r>
    </w:p>
    <w:p w14:paraId="01F333E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C.18～20℃</w:t>
      </w:r>
    </w:p>
    <w:p w14:paraId="783B6E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D.20～22℃</w:t>
      </w:r>
    </w:p>
    <w:p w14:paraId="14BF636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我国西北地区的西瓜含糖量高、品质好，与（  ）有密切关系。</w:t>
      </w:r>
    </w:p>
    <w:p w14:paraId="2C4776D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A.气温日较差小</w:t>
      </w:r>
      <w:r>
        <w:rPr>
          <w:rFonts w:hint="eastAsia" w:ascii="仿宋_GB2312" w:hAnsi="仿宋_GB2312" w:eastAsia="仿宋_GB2312" w:cs="仿宋_GB2312"/>
          <w:sz w:val="28"/>
          <w:szCs w:val="28"/>
        </w:rPr>
        <w:tab/>
      </w:r>
    </w:p>
    <w:p w14:paraId="537E592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B.气温日较差大   </w:t>
      </w:r>
    </w:p>
    <w:p w14:paraId="4D30B3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C.空气质量好    </w:t>
      </w:r>
    </w:p>
    <w:p w14:paraId="033DB63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D.土壤污染少</w:t>
      </w:r>
    </w:p>
    <w:p w14:paraId="21F12B2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3.施用营养液时最低温度不应低于（  ）。</w:t>
      </w:r>
    </w:p>
    <w:p w14:paraId="037ACB4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A.3℃</w:t>
      </w:r>
    </w:p>
    <w:p w14:paraId="336E24B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B.5℃</w:t>
      </w:r>
    </w:p>
    <w:p w14:paraId="3821320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C.10℃</w:t>
      </w:r>
    </w:p>
    <w:p w14:paraId="3F53C98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D.15℃</w:t>
      </w:r>
    </w:p>
    <w:p w14:paraId="3F14BF1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4.营养液pH 的控制可用（   ）的方法来解决。</w:t>
      </w:r>
    </w:p>
    <w:p w14:paraId="2B72B30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A.酸、碱中和</w:t>
      </w:r>
    </w:p>
    <w:p w14:paraId="40364D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B.补充营养液</w:t>
      </w:r>
    </w:p>
    <w:p w14:paraId="53C1D45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C.加水</w:t>
      </w:r>
    </w:p>
    <w:p w14:paraId="4008698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D.减少供应量</w:t>
      </w:r>
    </w:p>
    <w:p w14:paraId="2928A6F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5. </w:t>
      </w:r>
      <w:r>
        <w:rPr>
          <w:rFonts w:ascii="仿宋_GB2312" w:eastAsia="仿宋_GB2312" w:cs="仿宋"/>
          <w:kern w:val="0"/>
          <w:sz w:val="28"/>
          <w:szCs w:val="28"/>
        </w:rPr>
        <w:t>属于植物生长调节剂的是</w:t>
      </w:r>
      <w:r>
        <w:rPr>
          <w:rFonts w:hint="eastAsia" w:ascii="仿宋_GB2312" w:eastAsia="仿宋_GB2312" w:cs="仿宋"/>
          <w:kern w:val="0"/>
          <w:sz w:val="28"/>
          <w:szCs w:val="28"/>
        </w:rPr>
        <w:t>（   ）。</w:t>
      </w:r>
    </w:p>
    <w:p w14:paraId="3C37E7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A.生长素     </w:t>
      </w:r>
    </w:p>
    <w:p w14:paraId="0894128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B.细胞分裂素  </w:t>
      </w:r>
    </w:p>
    <w:p w14:paraId="09995B2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C.三碘苯甲酸    </w:t>
      </w:r>
    </w:p>
    <w:p w14:paraId="0BDDC57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D.乙烯</w:t>
      </w:r>
    </w:p>
    <w:p w14:paraId="41AFFB5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lang w:val="en-US" w:eastAsia="zh-CN"/>
        </w:rPr>
        <w:t>6.</w:t>
      </w:r>
      <w:r>
        <w:rPr>
          <w:rFonts w:ascii="仿宋_GB2312" w:eastAsia="仿宋_GB2312" w:cs="仿宋"/>
          <w:kern w:val="0"/>
          <w:sz w:val="28"/>
          <w:szCs w:val="28"/>
        </w:rPr>
        <w:t>下列属于粮食作物的是（</w:t>
      </w:r>
      <w:r>
        <w:rPr>
          <w:rFonts w:hint="eastAsia" w:ascii="仿宋_GB2312" w:eastAsia="仿宋_GB2312" w:cs="仿宋"/>
          <w:kern w:val="0"/>
          <w:sz w:val="28"/>
          <w:szCs w:val="28"/>
        </w:rPr>
        <w:t xml:space="preserve">   </w:t>
      </w:r>
      <w:r>
        <w:rPr>
          <w:rFonts w:ascii="仿宋_GB2312" w:eastAsia="仿宋_GB2312" w:cs="仿宋"/>
          <w:kern w:val="0"/>
          <w:sz w:val="28"/>
          <w:szCs w:val="28"/>
        </w:rPr>
        <w:t>）。</w:t>
      </w:r>
    </w:p>
    <w:p w14:paraId="4B1E800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A.马铃薯 </w:t>
      </w:r>
    </w:p>
    <w:p w14:paraId="3EE0BED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B.花生  </w:t>
      </w:r>
    </w:p>
    <w:p w14:paraId="4E3F174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C.棉花   </w:t>
      </w:r>
    </w:p>
    <w:p w14:paraId="1D50BA2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D.油菜 </w:t>
      </w:r>
    </w:p>
    <w:p w14:paraId="37E65A3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7.生产上为防止种子带有传染性病原体，采用药粉拌种法消毒时，通常药粉用量占种子干重的（   ）。</w:t>
      </w:r>
    </w:p>
    <w:p w14:paraId="0FD3146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A.0.2%～0.3%</w:t>
      </w:r>
    </w:p>
    <w:p w14:paraId="7B7FB6A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B.0.5%～0.6%</w:t>
      </w:r>
    </w:p>
    <w:p w14:paraId="5C3D8C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C.2%～3%</w:t>
      </w:r>
    </w:p>
    <w:p w14:paraId="17ABA45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D.5%～6%</w:t>
      </w:r>
    </w:p>
    <w:p w14:paraId="6C5A5F7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8.生产上西瓜温水浸种的适宜时间是（   ）左右。</w:t>
      </w:r>
    </w:p>
    <w:p w14:paraId="0D4E157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A.4～6h</w:t>
      </w:r>
    </w:p>
    <w:p w14:paraId="78CEF2B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B.7～8h</w:t>
      </w:r>
    </w:p>
    <w:p w14:paraId="241B9C3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C.8～11h</w:t>
      </w:r>
    </w:p>
    <w:p w14:paraId="3C0D034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D.30～35h</w:t>
      </w:r>
    </w:p>
    <w:p w14:paraId="20FD439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9.在早春季节，果菜类幼苗容易出现沤根现象,沤根的主要症状是（ ）。</w:t>
      </w:r>
    </w:p>
    <w:p w14:paraId="24CA3D3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A.根部腐烂，有白色霉状物</w:t>
      </w:r>
    </w:p>
    <w:p w14:paraId="6D13DBF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B.根部褐色腐烂，维管束黄褐色</w:t>
      </w:r>
    </w:p>
    <w:p w14:paraId="0B415A2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C.不发根或很少发新根，根皮呈锈褐色，逐渐腐烂</w:t>
      </w:r>
    </w:p>
    <w:p w14:paraId="18BB45E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D.根前端黄褐色水浸状黄褐至栗褐色腐烂</w:t>
      </w:r>
    </w:p>
    <w:p w14:paraId="0B2B31B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10.番茄育苗时在花芽分化期，要保持昼温20～25℃，夜温13～17℃，防止出现(   )以下的低温，造成畸形花。</w:t>
      </w:r>
    </w:p>
    <w:p w14:paraId="6CCC651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A.0℃</w:t>
      </w:r>
    </w:p>
    <w:p w14:paraId="47B2A70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B.4℃</w:t>
      </w:r>
    </w:p>
    <w:p w14:paraId="70CA74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C.10℃</w:t>
      </w:r>
    </w:p>
    <w:p w14:paraId="6D1EB98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D.20℃</w:t>
      </w:r>
    </w:p>
    <w:p w14:paraId="14630AB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11.在黄瓜幼苗期使用乙烯利有（  ）的作用。</w:t>
      </w:r>
    </w:p>
    <w:p w14:paraId="79BA7CB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A.没有作用</w:t>
      </w:r>
    </w:p>
    <w:p w14:paraId="75F49C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B.仅降低雌花的节位</w:t>
      </w:r>
    </w:p>
    <w:p w14:paraId="0A1985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C.仅增加雌花的数量</w:t>
      </w:r>
    </w:p>
    <w:p w14:paraId="19C84A0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D.既降低雌花的节位，也增加雌花的数量</w:t>
      </w:r>
    </w:p>
    <w:p w14:paraId="27B8F75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12.由于雨过天晴揭膜不及时，棚内温度过高造成的幼苗叶片或生长点灼伤的现象称为(   )。</w:t>
      </w:r>
    </w:p>
    <w:p w14:paraId="5C9F947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A.烟害</w:t>
      </w:r>
    </w:p>
    <w:p w14:paraId="6D83E7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B.冻害</w:t>
      </w:r>
    </w:p>
    <w:p w14:paraId="0582E79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C.热害</w:t>
      </w:r>
    </w:p>
    <w:p w14:paraId="5E42666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D.高温障碍</w:t>
      </w:r>
    </w:p>
    <w:p w14:paraId="090A3BFF">
      <w:pPr>
        <w:autoSpaceDE w:val="0"/>
        <w:autoSpaceDN w:val="0"/>
        <w:adjustRightInd w:val="0"/>
        <w:jc w:val="left"/>
        <w:rPr>
          <w:rFonts w:ascii="仿宋_GB2312" w:eastAsia="仿宋_GB2312" w:cs="仿宋"/>
          <w:kern w:val="0"/>
          <w:sz w:val="28"/>
          <w:szCs w:val="28"/>
        </w:rPr>
      </w:pPr>
      <w:r>
        <w:rPr>
          <w:rFonts w:ascii="仿宋_GB2312" w:eastAsia="仿宋_GB2312" w:cs="仿宋"/>
          <w:kern w:val="0"/>
          <w:sz w:val="28"/>
          <w:szCs w:val="28"/>
        </w:rPr>
        <w:t>13.</w:t>
      </w:r>
      <w:r>
        <w:rPr>
          <w:rFonts w:hint="eastAsia" w:ascii="仿宋_GB2312" w:eastAsia="仿宋_GB2312" w:cs="仿宋"/>
          <w:kern w:val="0"/>
          <w:sz w:val="28"/>
          <w:szCs w:val="28"/>
        </w:rPr>
        <w:t xml:space="preserve"> 对果实成熟有显著效果的植物激素是（  ）。</w:t>
      </w:r>
    </w:p>
    <w:p w14:paraId="41116F6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A.细胞分裂素</w:t>
      </w:r>
    </w:p>
    <w:p w14:paraId="4CDF741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B.乙烯</w:t>
      </w:r>
    </w:p>
    <w:p w14:paraId="5E1DE1E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C.赤霉素</w:t>
      </w:r>
    </w:p>
    <w:p w14:paraId="63D39F0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D.生长素</w:t>
      </w:r>
    </w:p>
    <w:p w14:paraId="1216C31F">
      <w:pPr>
        <w:autoSpaceDE w:val="0"/>
        <w:autoSpaceDN w:val="0"/>
        <w:adjustRightInd w:val="0"/>
        <w:jc w:val="left"/>
        <w:rPr>
          <w:rFonts w:ascii="仿宋_GB2312" w:eastAsia="仿宋_GB2312" w:cs="仿宋"/>
          <w:kern w:val="0"/>
          <w:sz w:val="28"/>
          <w:szCs w:val="28"/>
        </w:rPr>
      </w:pPr>
      <w:r>
        <w:rPr>
          <w:rFonts w:ascii="仿宋_GB2312" w:eastAsia="仿宋_GB2312" w:cs="仿宋"/>
          <w:kern w:val="0"/>
          <w:sz w:val="28"/>
          <w:szCs w:val="28"/>
        </w:rPr>
        <w:t>14.</w:t>
      </w:r>
      <w:r>
        <w:rPr>
          <w:rFonts w:hint="eastAsia" w:ascii="仿宋_GB2312" w:eastAsia="仿宋_GB2312" w:cs="仿宋"/>
          <w:kern w:val="0"/>
          <w:sz w:val="28"/>
          <w:szCs w:val="28"/>
        </w:rPr>
        <w:t xml:space="preserve"> 冬季提高增温设施，其保温效果不当的措施是（  ）</w:t>
      </w:r>
    </w:p>
    <w:p w14:paraId="6B3E74B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A.铺设电线</w:t>
      </w:r>
    </w:p>
    <w:p w14:paraId="787327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B.覆盖草帘</w:t>
      </w:r>
    </w:p>
    <w:p w14:paraId="301A71A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C.增加设施的高度</w:t>
      </w:r>
    </w:p>
    <w:p w14:paraId="092DDB1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D.以水调温</w:t>
      </w:r>
    </w:p>
    <w:p w14:paraId="425EE28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15.下列不属于蔬菜徒长苗特征的是（  ）。</w:t>
      </w:r>
    </w:p>
    <w:p w14:paraId="72A7D21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A.节间长</w:t>
      </w:r>
    </w:p>
    <w:p w14:paraId="3447BB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B.叶片薄</w:t>
      </w:r>
    </w:p>
    <w:p w14:paraId="280F490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C.易倒伏</w:t>
      </w:r>
    </w:p>
    <w:p w14:paraId="02CB313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D.花芽数量多</w:t>
      </w:r>
    </w:p>
    <w:p w14:paraId="43D72D4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16.蔬莱幼苗茎基部出现椭圆形褐色凹陷病斑、地上部分枯死，为（  ）。</w:t>
      </w:r>
    </w:p>
    <w:p w14:paraId="6C7021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A.沤根</w:t>
      </w:r>
    </w:p>
    <w:p w14:paraId="784BA2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B.立枯病</w:t>
      </w:r>
    </w:p>
    <w:p w14:paraId="48D1475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C.猝倒病</w:t>
      </w:r>
    </w:p>
    <w:p w14:paraId="53C631A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D.根腐病</w:t>
      </w:r>
    </w:p>
    <w:p w14:paraId="6977D20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17.茄子苗期花芽分化时经历15℃以下的低温，容易形成（   ）。</w:t>
      </w:r>
    </w:p>
    <w:p w14:paraId="432FE8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A.脐裂果</w:t>
      </w:r>
    </w:p>
    <w:p w14:paraId="3BD637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B.裂茄</w:t>
      </w:r>
    </w:p>
    <w:p w14:paraId="5B3209E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C.变形果</w:t>
      </w:r>
    </w:p>
    <w:p w14:paraId="6EFBFA2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D.双身茄</w:t>
      </w:r>
    </w:p>
    <w:p w14:paraId="29F94CE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18.生产上黄瓜温水浸种的适宜时间是（  ）左右。</w:t>
      </w:r>
    </w:p>
    <w:p w14:paraId="1C1BA2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A.4～6h</w:t>
      </w:r>
    </w:p>
    <w:p w14:paraId="3A47189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B.7～8h</w:t>
      </w:r>
    </w:p>
    <w:p w14:paraId="0DFAB71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C.8～11h</w:t>
      </w:r>
    </w:p>
    <w:p w14:paraId="3560EFA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D.30～35h</w:t>
      </w:r>
    </w:p>
    <w:p w14:paraId="6C83EA0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19.下列各科植物对应的果实类型，错误的是（  ）。</w:t>
      </w:r>
    </w:p>
    <w:p w14:paraId="4CC463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A.禾本科～颖果            </w:t>
      </w:r>
    </w:p>
    <w:p w14:paraId="5342E1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B.葫芦科～瓠果</w:t>
      </w:r>
    </w:p>
    <w:p w14:paraId="63FD3CE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C.豆科～荚果              </w:t>
      </w:r>
    </w:p>
    <w:p w14:paraId="2096DF5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D.十字花科～蒴果</w:t>
      </w:r>
    </w:p>
    <w:p w14:paraId="106E6F7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20</w:t>
      </w:r>
      <w:r>
        <w:rPr>
          <w:rFonts w:ascii="仿宋_GB2312" w:eastAsia="仿宋_GB2312" w:cs="仿宋"/>
          <w:kern w:val="0"/>
          <w:sz w:val="28"/>
          <w:szCs w:val="28"/>
        </w:rPr>
        <w:t>.</w:t>
      </w:r>
      <w:r>
        <w:rPr>
          <w:rFonts w:hint="eastAsia" w:ascii="仿宋_GB2312" w:eastAsia="仿宋_GB2312" w:cs="仿宋"/>
          <w:kern w:val="0"/>
          <w:sz w:val="28"/>
          <w:szCs w:val="28"/>
        </w:rPr>
        <w:t xml:space="preserve"> 在相同环境和栽培条件下一般来说移栽油菜比直播油菜产量高，其生理上原因最可能是（  ）。</w:t>
      </w:r>
    </w:p>
    <w:p w14:paraId="030895C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A.枝叶繁茂</w:t>
      </w:r>
    </w:p>
    <w:p w14:paraId="35E02DD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B.根系发达</w:t>
      </w:r>
    </w:p>
    <w:p w14:paraId="4D36805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C.茎杆粗壮</w:t>
      </w:r>
    </w:p>
    <w:p w14:paraId="410C3F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D.光合效率高</w:t>
      </w:r>
    </w:p>
    <w:p w14:paraId="5357C69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21.生产上番茄温水浸种的适宜时间是（   ）左右。</w:t>
      </w:r>
    </w:p>
    <w:p w14:paraId="0275F3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A.4～6h</w:t>
      </w:r>
    </w:p>
    <w:p w14:paraId="109FBBB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B.7～8h</w:t>
      </w:r>
    </w:p>
    <w:p w14:paraId="7D1890F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C.8～11h</w:t>
      </w:r>
    </w:p>
    <w:p w14:paraId="51D6358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D.30～35h</w:t>
      </w:r>
    </w:p>
    <w:p w14:paraId="44D8D4F7">
      <w:pPr>
        <w:autoSpaceDE w:val="0"/>
        <w:autoSpaceDN w:val="0"/>
        <w:adjustRightInd w:val="0"/>
        <w:ind w:right="-197" w:rightChars="-94"/>
        <w:jc w:val="left"/>
        <w:rPr>
          <w:rFonts w:ascii="仿宋_GB2312" w:eastAsia="仿宋_GB2312" w:cs="仿宋"/>
          <w:kern w:val="0"/>
          <w:sz w:val="28"/>
          <w:szCs w:val="28"/>
        </w:rPr>
      </w:pPr>
      <w:r>
        <w:rPr>
          <w:rFonts w:hint="eastAsia" w:ascii="仿宋_GB2312" w:eastAsia="仿宋_GB2312" w:cs="仿宋"/>
          <w:kern w:val="0"/>
          <w:sz w:val="28"/>
          <w:szCs w:val="28"/>
        </w:rPr>
        <w:t>22.黄瓜与南瓜插接时，在黄瓜接穗子叶基部下方沿两子叶平行的方向向下胚轴方向斜切成平滑单楔面或双楔面，适宜的削面长度是（  ）。</w:t>
      </w:r>
    </w:p>
    <w:p w14:paraId="408C861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A.0.1～0.2 ㎝</w:t>
      </w:r>
    </w:p>
    <w:p w14:paraId="3EE7B34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B.0.3～0.4 ㎝</w:t>
      </w:r>
    </w:p>
    <w:p w14:paraId="48C6D2C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C.0.5～0.6 ㎝</w:t>
      </w:r>
    </w:p>
    <w:p w14:paraId="21C14B5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D.0.7～0.8 ㎝</w:t>
      </w:r>
    </w:p>
    <w:p w14:paraId="48BD4D1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23.生产上防治西瓜枯萎病最有效的途径是（   ）。</w:t>
      </w:r>
    </w:p>
    <w:p w14:paraId="5C98CD9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A.种子处理</w:t>
      </w:r>
    </w:p>
    <w:p w14:paraId="4A887E2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B.降低湿度</w:t>
      </w:r>
    </w:p>
    <w:p w14:paraId="2A65A21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C.利用葫芦等作砧木进行嫁接</w:t>
      </w:r>
    </w:p>
    <w:p w14:paraId="615DFEB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D.及时打药</w:t>
      </w:r>
    </w:p>
    <w:p w14:paraId="69C31BB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24.生产上番茄嫁接常采用的砧木是（   ）。</w:t>
      </w:r>
    </w:p>
    <w:p w14:paraId="16EFB2C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A.马铃薯</w:t>
      </w:r>
    </w:p>
    <w:p w14:paraId="4BC6190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B.茄子</w:t>
      </w:r>
    </w:p>
    <w:p w14:paraId="4BBD8D9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C.野生番茄</w:t>
      </w:r>
    </w:p>
    <w:p w14:paraId="321EA89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D.辣椒</w:t>
      </w:r>
    </w:p>
    <w:p w14:paraId="34B171A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25.下列蔬菜作物中属于葫芦科蔬菜的是（   ）。</w:t>
      </w:r>
    </w:p>
    <w:p w14:paraId="5E4219B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A.番茄</w:t>
      </w:r>
    </w:p>
    <w:p w14:paraId="492F62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B.黄瓜</w:t>
      </w:r>
    </w:p>
    <w:p w14:paraId="7158C34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C.茄子</w:t>
      </w:r>
    </w:p>
    <w:p w14:paraId="16170ED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D.辣椒</w:t>
      </w:r>
    </w:p>
    <w:p w14:paraId="0AB2183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26.靠接法嫁接后，应使空气相对湿度保持在（   ），以防止嫁接苗失水萎蔫。</w:t>
      </w:r>
    </w:p>
    <w:p w14:paraId="22FD9B2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A.90%～95%</w:t>
      </w:r>
    </w:p>
    <w:p w14:paraId="142302C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B.70%～80%</w:t>
      </w:r>
    </w:p>
    <w:p w14:paraId="53B08D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C.60%～70%</w:t>
      </w:r>
    </w:p>
    <w:p w14:paraId="7F4BF3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D.50%～60%</w:t>
      </w:r>
    </w:p>
    <w:p w14:paraId="5D8287B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27.西瓜嫁接栽培中常用砧木有（  ）、笋瓜、葫芦等。</w:t>
      </w:r>
    </w:p>
    <w:p w14:paraId="78B5642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A.黄瓜</w:t>
      </w:r>
    </w:p>
    <w:p w14:paraId="4255303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B.南瓜</w:t>
      </w:r>
    </w:p>
    <w:p w14:paraId="52B1565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C.苦瓜</w:t>
      </w:r>
    </w:p>
    <w:p w14:paraId="280C4E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D.节瓜</w:t>
      </w:r>
    </w:p>
    <w:p w14:paraId="7423657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28.为提高黄瓜插接成活率，在浇水后应立即对嫁接苗进行（   ），以防失水萎蔫。</w:t>
      </w:r>
    </w:p>
    <w:p w14:paraId="0FA5B3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A.见光</w:t>
      </w:r>
    </w:p>
    <w:p w14:paraId="2D8BA12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B.遮阳</w:t>
      </w:r>
    </w:p>
    <w:p w14:paraId="316F77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C.加温</w:t>
      </w:r>
    </w:p>
    <w:p w14:paraId="23BF71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D.降温</w:t>
      </w:r>
    </w:p>
    <w:p w14:paraId="1EEAEC2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29.嫁接育苗的场地内适宜温度为（   ）。</w:t>
      </w:r>
    </w:p>
    <w:p w14:paraId="7097619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A.15～30℃</w:t>
      </w:r>
    </w:p>
    <w:p w14:paraId="67C6A6D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B.25～30℃</w:t>
      </w:r>
    </w:p>
    <w:p w14:paraId="1EDFD29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C.10～20℃</w:t>
      </w:r>
    </w:p>
    <w:p w14:paraId="2AFAE35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D.25～40℃</w:t>
      </w:r>
    </w:p>
    <w:p w14:paraId="48B1350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30.</w:t>
      </w:r>
      <w:r>
        <w:rPr>
          <w:rFonts w:ascii="仿宋_GB2312" w:eastAsia="仿宋_GB2312" w:cs="仿宋"/>
          <w:kern w:val="0"/>
          <w:sz w:val="28"/>
          <w:szCs w:val="28"/>
        </w:rPr>
        <w:t xml:space="preserve"> </w:t>
      </w:r>
      <w:r>
        <w:rPr>
          <w:rFonts w:hint="eastAsia" w:ascii="仿宋_GB2312" w:eastAsia="仿宋_GB2312" w:cs="仿宋"/>
          <w:kern w:val="0"/>
          <w:sz w:val="28"/>
          <w:szCs w:val="28"/>
        </w:rPr>
        <w:t>苹果、梨等木本植物茎的增粗，主要是（   ）细胞增多所致。</w:t>
      </w:r>
    </w:p>
    <w:p w14:paraId="5D9B154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A.形成层</w:t>
      </w:r>
    </w:p>
    <w:p w14:paraId="3254B2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B.韧皮部</w:t>
      </w:r>
    </w:p>
    <w:p w14:paraId="7295A07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C.木质部</w:t>
      </w:r>
    </w:p>
    <w:p w14:paraId="0D504F9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D.皮层</w:t>
      </w:r>
    </w:p>
    <w:p w14:paraId="31F38C0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31.下列属茄科蔬菜植物是（   ）。</w:t>
      </w:r>
    </w:p>
    <w:p w14:paraId="4415EE1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A.辣椒</w:t>
      </w:r>
    </w:p>
    <w:p w14:paraId="02BA326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B.菜豆</w:t>
      </w:r>
    </w:p>
    <w:p w14:paraId="620110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C.白菜</w:t>
      </w:r>
    </w:p>
    <w:p w14:paraId="089F1CA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D.南瓜</w:t>
      </w:r>
    </w:p>
    <w:p w14:paraId="1F6D810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32.下列属于葫芦科蔬菜植物是（   ）。</w:t>
      </w:r>
    </w:p>
    <w:p w14:paraId="123DB85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A.番茄</w:t>
      </w:r>
    </w:p>
    <w:p w14:paraId="75B66B4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B.西瓜</w:t>
      </w:r>
    </w:p>
    <w:p w14:paraId="4F7478F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C.马铃薯</w:t>
      </w:r>
    </w:p>
    <w:p w14:paraId="4EB90A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D.豇豆</w:t>
      </w:r>
    </w:p>
    <w:p w14:paraId="5D7A285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33.炼苗期应（   ）浇水量。</w:t>
      </w:r>
    </w:p>
    <w:p w14:paraId="1A89A19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A.增加</w:t>
      </w:r>
    </w:p>
    <w:p w14:paraId="269EAB2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B.减少</w:t>
      </w:r>
    </w:p>
    <w:p w14:paraId="0DDE33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C.不变</w:t>
      </w:r>
    </w:p>
    <w:p w14:paraId="547622E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D.见干见湿</w:t>
      </w:r>
    </w:p>
    <w:p w14:paraId="55C349E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34.植株调整的主要作用不包括（   ）。</w:t>
      </w:r>
    </w:p>
    <w:p w14:paraId="2072232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A.防止植株徒长</w:t>
      </w:r>
    </w:p>
    <w:p w14:paraId="50C31A0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B.利于通风透光</w:t>
      </w:r>
    </w:p>
    <w:p w14:paraId="25937D9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C.减少病虫害</w:t>
      </w:r>
    </w:p>
    <w:p w14:paraId="51C1329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D.减少产量</w:t>
      </w:r>
    </w:p>
    <w:p w14:paraId="21B1DD2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35.下列土壤结构体中，具有较多（   ）的土壤肥力较高。</w:t>
      </w:r>
    </w:p>
    <w:p w14:paraId="259259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A.块状结构</w:t>
      </w:r>
    </w:p>
    <w:p w14:paraId="6F9FBA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B.片状结构</w:t>
      </w:r>
    </w:p>
    <w:p w14:paraId="32CB670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C.核状结构</w:t>
      </w:r>
    </w:p>
    <w:p w14:paraId="55A8340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D.团粒结构</w:t>
      </w:r>
    </w:p>
    <w:p w14:paraId="35431C3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36.有机肥主要用作（   ）。</w:t>
      </w:r>
    </w:p>
    <w:p w14:paraId="280BCC8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A.追肥</w:t>
      </w:r>
    </w:p>
    <w:p w14:paraId="7FF022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B.活根肥</w:t>
      </w:r>
    </w:p>
    <w:p w14:paraId="0E3486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C.叶面肥</w:t>
      </w:r>
    </w:p>
    <w:p w14:paraId="25795C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D.基肥</w:t>
      </w:r>
    </w:p>
    <w:p w14:paraId="6CEBE8D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37.下列不能提高土壤温度的措施是（  ）。</w:t>
      </w:r>
    </w:p>
    <w:p w14:paraId="7C4134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A.灌水</w:t>
      </w:r>
    </w:p>
    <w:p w14:paraId="7DF37C8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B.覆盖稻草</w:t>
      </w:r>
    </w:p>
    <w:p w14:paraId="0412E7B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C.增施有机肥</w:t>
      </w:r>
    </w:p>
    <w:p w14:paraId="4FF0237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D.覆盖地膜</w:t>
      </w:r>
    </w:p>
    <w:p w14:paraId="44C6746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38.长期大量施用硫酸铵的土壤其pH 值（   ）。</w:t>
      </w:r>
    </w:p>
    <w:p w14:paraId="1770DA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A.升高</w:t>
      </w:r>
    </w:p>
    <w:p w14:paraId="16B6CC0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B.降低</w:t>
      </w:r>
    </w:p>
    <w:p w14:paraId="3564828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C.不发生变化</w:t>
      </w:r>
    </w:p>
    <w:p w14:paraId="677A7DD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D.不发生明显的变化</w:t>
      </w:r>
    </w:p>
    <w:p w14:paraId="2AC61C8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39.在植物营养过程中，有一个时期对某种养分的要求在绝对数量上不多，但很敏感、需要迫切，这个时期称为植物营养的（   ）。</w:t>
      </w:r>
    </w:p>
    <w:p w14:paraId="2EFFC6F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A.关键期</w:t>
      </w:r>
    </w:p>
    <w:p w14:paraId="208CC2E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B.最大效率期</w:t>
      </w:r>
    </w:p>
    <w:p w14:paraId="132E334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C.临界期</w:t>
      </w:r>
    </w:p>
    <w:p w14:paraId="21A22C9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D.敏感期</w:t>
      </w:r>
    </w:p>
    <w:p w14:paraId="5C0BBDC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40.下列蔬菜不适合育苗移栽的是（   ）。</w:t>
      </w:r>
    </w:p>
    <w:p w14:paraId="203C3CE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A.西瓜</w:t>
      </w:r>
    </w:p>
    <w:p w14:paraId="3C40C0F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B.番茄</w:t>
      </w:r>
    </w:p>
    <w:p w14:paraId="0BD0B50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C.辣椒</w:t>
      </w:r>
    </w:p>
    <w:p w14:paraId="26C3FE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D.萝卜</w:t>
      </w:r>
    </w:p>
    <w:p w14:paraId="6E53307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41. “种瓜得瓜，得豆得豆”说的是植物在传粉时，依靠（   ）来识别是同种花粉。</w:t>
      </w:r>
    </w:p>
    <w:p w14:paraId="166C274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A.花药  </w:t>
      </w:r>
    </w:p>
    <w:p w14:paraId="45FFD03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B.花丝</w:t>
      </w:r>
    </w:p>
    <w:p w14:paraId="1657428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C.柱头</w:t>
      </w:r>
    </w:p>
    <w:p w14:paraId="5A7D89D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D.花柱</w:t>
      </w:r>
    </w:p>
    <w:p w14:paraId="0CDB576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42.黄瓜定植时的株行距均为33cm，每亩定植约为（   ）株。</w:t>
      </w:r>
    </w:p>
    <w:p w14:paraId="3A90318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A.1000 左右</w:t>
      </w:r>
    </w:p>
    <w:p w14:paraId="05D9AD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B.1500 左右</w:t>
      </w:r>
    </w:p>
    <w:p w14:paraId="3B5BCA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C.2000 左右</w:t>
      </w:r>
    </w:p>
    <w:p w14:paraId="60A0572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D.6000 左右</w:t>
      </w:r>
    </w:p>
    <w:p w14:paraId="2F95AAF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43.用磷酸三钠溶液对种子进行处理时适合的处理时间是(  )。</w:t>
      </w:r>
    </w:p>
    <w:p w14:paraId="683957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A.1min</w:t>
      </w:r>
    </w:p>
    <w:p w14:paraId="70B5E7C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B.3min</w:t>
      </w:r>
    </w:p>
    <w:p w14:paraId="698ADA4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C.5min</w:t>
      </w:r>
    </w:p>
    <w:p w14:paraId="597B851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D.10～30min</w:t>
      </w:r>
    </w:p>
    <w:p w14:paraId="724D12E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44. 属于长日照植物的是（   ）。</w:t>
      </w:r>
    </w:p>
    <w:p w14:paraId="73CE2D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A.高粱</w:t>
      </w:r>
    </w:p>
    <w:p w14:paraId="17C5E31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B.小麦  </w:t>
      </w:r>
    </w:p>
    <w:p w14:paraId="5825D1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C.玉米</w:t>
      </w:r>
    </w:p>
    <w:p w14:paraId="03DB36D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D.大豆</w:t>
      </w:r>
    </w:p>
    <w:p w14:paraId="3046146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45.蔬菜育苗过程中，常用的保温或降温覆盖材料不包括（  ）。</w:t>
      </w:r>
    </w:p>
    <w:p w14:paraId="7A89A4C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A.电热温床</w:t>
      </w:r>
    </w:p>
    <w:p w14:paraId="289381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B.遮阳网</w:t>
      </w:r>
    </w:p>
    <w:p w14:paraId="1D5F08D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C.无纺布</w:t>
      </w:r>
    </w:p>
    <w:p w14:paraId="16E4FDC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D.薄膜</w:t>
      </w:r>
    </w:p>
    <w:p w14:paraId="65B1B22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46.</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在同一田地上有顺序地轮换种植不同种类农作物的种植方式属于（ D ）。</w:t>
      </w:r>
    </w:p>
    <w:p w14:paraId="345A19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A.套作</w:t>
      </w:r>
    </w:p>
    <w:p w14:paraId="689F622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B.连作</w:t>
      </w:r>
    </w:p>
    <w:p w14:paraId="3AFA14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C.间作</w:t>
      </w:r>
    </w:p>
    <w:p w14:paraId="4D1E23D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D.轮作</w:t>
      </w:r>
    </w:p>
    <w:p w14:paraId="64A61C3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47.</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小拱棚的气温增温速度较快，最大增温能力可达到（  ）左右，易造成高温危害。</w:t>
      </w:r>
    </w:p>
    <w:p w14:paraId="0A9870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A.10℃  </w:t>
      </w:r>
    </w:p>
    <w:p w14:paraId="704DB57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B.15℃</w:t>
      </w:r>
    </w:p>
    <w:p w14:paraId="1E4CF57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C.20℃</w:t>
      </w:r>
    </w:p>
    <w:p w14:paraId="1A6145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D.30℃</w:t>
      </w:r>
    </w:p>
    <w:p w14:paraId="3F7455E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48. 某植物种子在潮湿土壤中保存多年也不发芽，是因为种子内（   ）积累过多。</w:t>
      </w:r>
    </w:p>
    <w:p w14:paraId="5CDCFE0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A.二氧化碳  </w:t>
      </w:r>
    </w:p>
    <w:p w14:paraId="2F403F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B.氮气   </w:t>
      </w:r>
    </w:p>
    <w:p w14:paraId="55F241E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C.氦气  </w:t>
      </w:r>
    </w:p>
    <w:p w14:paraId="3E88F44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D.氧气</w:t>
      </w:r>
    </w:p>
    <w:p w14:paraId="00AB48D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49.西瓜嫁接换根防枯萎病的砧木常采用(   )、笋瓜、葫芦。</w:t>
      </w:r>
    </w:p>
    <w:p w14:paraId="122CB1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A.黄瓜</w:t>
      </w:r>
    </w:p>
    <w:p w14:paraId="1CE9E5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B.丝瓜</w:t>
      </w:r>
    </w:p>
    <w:p w14:paraId="5DBD5A8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C.南瓜</w:t>
      </w:r>
    </w:p>
    <w:p w14:paraId="21D18E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D.苦瓜</w:t>
      </w:r>
    </w:p>
    <w:p w14:paraId="1A6E387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50.黄瓜出苗前白天棚内温度控制在28～30℃，出苗后温度控制在(  )。</w:t>
      </w:r>
    </w:p>
    <w:p w14:paraId="18E1F8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A.10℃左右</w:t>
      </w:r>
    </w:p>
    <w:p w14:paraId="6F0B387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B.25℃左右</w:t>
      </w:r>
    </w:p>
    <w:p w14:paraId="5F26ED9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C.30℃左右</w:t>
      </w:r>
    </w:p>
    <w:p w14:paraId="3FE99C9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D.40℃左右</w:t>
      </w:r>
    </w:p>
    <w:p w14:paraId="1A20754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51.一般情况下，黄瓜穴盘育苗出苗达(  )应及时揭去遮阳网。</w:t>
      </w:r>
    </w:p>
    <w:p w14:paraId="302AE8E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A.10%～20%</w:t>
      </w:r>
    </w:p>
    <w:p w14:paraId="1EB1B3F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B.30%～50%</w:t>
      </w:r>
    </w:p>
    <w:p w14:paraId="185610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C.70%～80%</w:t>
      </w:r>
    </w:p>
    <w:p w14:paraId="718EB5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D.80%～90%</w:t>
      </w:r>
    </w:p>
    <w:p w14:paraId="47F9CE3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52.番茄冬季育苗，苗床结构由上而下依次是（  )。</w:t>
      </w:r>
    </w:p>
    <w:p w14:paraId="382459E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A.地膜～药土～营养土～种子～药土～土壤</w:t>
      </w:r>
    </w:p>
    <w:p w14:paraId="7C994C3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B.地膜～营养土～药土～营养土～种子～土壤</w:t>
      </w:r>
    </w:p>
    <w:p w14:paraId="38E540D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C.地膜～药土～营养土～种子～营养土～土壤</w:t>
      </w:r>
    </w:p>
    <w:p w14:paraId="3826C4F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D.地膜～营养土～药土～种子～营养土～土壤</w:t>
      </w:r>
    </w:p>
    <w:p w14:paraId="1A7B890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53.（  ）是指样本种子中能够发芽的百分数。</w:t>
      </w:r>
    </w:p>
    <w:p w14:paraId="4E0A009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A.发芽率</w:t>
      </w:r>
    </w:p>
    <w:p w14:paraId="19CB283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B.发芽势</w:t>
      </w:r>
    </w:p>
    <w:p w14:paraId="7A2CF92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C.净度</w:t>
      </w:r>
    </w:p>
    <w:p w14:paraId="6F0119C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D.饱满度</w:t>
      </w:r>
    </w:p>
    <w:p w14:paraId="1A1C724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54.瓜类蔬菜的种子是属于(   )种子。</w:t>
      </w:r>
    </w:p>
    <w:p w14:paraId="1081B78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A.双子叶有胚乳</w:t>
      </w:r>
    </w:p>
    <w:p w14:paraId="20F3FC8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B.双子叶无胚乳</w:t>
      </w:r>
    </w:p>
    <w:p w14:paraId="3ECB24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C.单子叶有胚乳</w:t>
      </w:r>
    </w:p>
    <w:p w14:paraId="005CD09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D.单子叶无胚乳</w:t>
      </w:r>
    </w:p>
    <w:p w14:paraId="401E056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55.蔬菜乙级种子的发芽率要求达到（   ）左右。</w:t>
      </w:r>
    </w:p>
    <w:p w14:paraId="4D2402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A.50%</w:t>
      </w:r>
    </w:p>
    <w:p w14:paraId="55A8BBE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B.65%</w:t>
      </w:r>
    </w:p>
    <w:p w14:paraId="1C86502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C.85%</w:t>
      </w:r>
    </w:p>
    <w:p w14:paraId="54277BC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D.95%</w:t>
      </w:r>
    </w:p>
    <w:p w14:paraId="2536306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56. 扦插压条是利用枝条叶地下茎等能产生</w:t>
      </w:r>
      <w:r>
        <w:rPr>
          <w:rFonts w:ascii="仿宋_GB2312" w:eastAsia="仿宋_GB2312" w:cs="仿宋"/>
          <w:kern w:val="0"/>
          <w:sz w:val="28"/>
          <w:szCs w:val="28"/>
        </w:rPr>
        <w:t xml:space="preserve">（ </w:t>
      </w:r>
      <w:r>
        <w:rPr>
          <w:rFonts w:hint="eastAsia" w:ascii="仿宋_GB2312" w:eastAsia="仿宋_GB2312" w:cs="仿宋"/>
          <w:kern w:val="0"/>
          <w:sz w:val="28"/>
          <w:szCs w:val="28"/>
        </w:rPr>
        <w:t xml:space="preserve"> </w:t>
      </w:r>
      <w:r>
        <w:rPr>
          <w:rFonts w:ascii="仿宋_GB2312" w:eastAsia="仿宋_GB2312" w:cs="仿宋"/>
          <w:kern w:val="0"/>
          <w:sz w:val="28"/>
          <w:szCs w:val="28"/>
        </w:rPr>
        <w:t xml:space="preserve"> ）</w:t>
      </w:r>
      <w:r>
        <w:rPr>
          <w:rFonts w:hint="eastAsia" w:ascii="仿宋_GB2312" w:eastAsia="仿宋_GB2312" w:cs="仿宋"/>
          <w:kern w:val="0"/>
          <w:sz w:val="28"/>
          <w:szCs w:val="28"/>
        </w:rPr>
        <w:t>的特性。</w:t>
      </w:r>
    </w:p>
    <w:p w14:paraId="2555279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A.初生根</w:t>
      </w:r>
    </w:p>
    <w:p w14:paraId="2557DB9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B.不定根  </w:t>
      </w:r>
    </w:p>
    <w:p w14:paraId="0A8403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C.次生根</w:t>
      </w:r>
    </w:p>
    <w:p w14:paraId="75C3702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D.气生根</w:t>
      </w:r>
    </w:p>
    <w:p w14:paraId="758FC2B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57.下列蔬菜护根育苗的方式不包括(   )。</w:t>
      </w:r>
    </w:p>
    <w:p w14:paraId="063E8C8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A.营养钵育苗</w:t>
      </w:r>
    </w:p>
    <w:p w14:paraId="5D1CCD6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B.营养土块育苗</w:t>
      </w:r>
    </w:p>
    <w:p w14:paraId="35D23DB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C.纸杯育苗</w:t>
      </w:r>
    </w:p>
    <w:p w14:paraId="53F43D4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D.苗床育苗</w:t>
      </w:r>
    </w:p>
    <w:p w14:paraId="5F58A3E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58.秧苗锻炼的方法有控制浇水、囤苗、药物和（  ）。</w:t>
      </w:r>
    </w:p>
    <w:p w14:paraId="197840D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A.高温锻炼</w:t>
      </w:r>
    </w:p>
    <w:p w14:paraId="1C8CAED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B.低温锻炼</w:t>
      </w:r>
    </w:p>
    <w:p w14:paraId="7344F96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C.增光锻炼</w:t>
      </w:r>
    </w:p>
    <w:p w14:paraId="4BBF565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D.增温锻炼</w:t>
      </w:r>
    </w:p>
    <w:p w14:paraId="0F5EA44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59.蔬菜秧苗僵化主要原因是（   ）。</w:t>
      </w:r>
    </w:p>
    <w:p w14:paraId="046F113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A.苗龄过长</w:t>
      </w:r>
    </w:p>
    <w:p w14:paraId="7223703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B.苗龄过短</w:t>
      </w:r>
    </w:p>
    <w:p w14:paraId="5E05020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C.炼苗时间短</w:t>
      </w:r>
    </w:p>
    <w:p w14:paraId="4AF32C7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D.病虫害感染</w:t>
      </w:r>
    </w:p>
    <w:p w14:paraId="5848573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60.营养液的C 母液由（   ）合在一起配制而成。</w:t>
      </w:r>
    </w:p>
    <w:p w14:paraId="495EA4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A.铁和微量元素</w:t>
      </w:r>
    </w:p>
    <w:p w14:paraId="17F2639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B.锌和微量元素</w:t>
      </w:r>
    </w:p>
    <w:p w14:paraId="5ABF54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C.镁和微量元素</w:t>
      </w:r>
    </w:p>
    <w:p w14:paraId="62D92F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D.铜和微量元素</w:t>
      </w:r>
    </w:p>
    <w:p w14:paraId="2B9614B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61.营养液配方是指在规定体积的营养液中,规定含有各种必需营养元素的(   )数量。</w:t>
      </w:r>
    </w:p>
    <w:p w14:paraId="5FC072B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A.脂类</w:t>
      </w:r>
    </w:p>
    <w:p w14:paraId="5EF49AD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B.糖类</w:t>
      </w:r>
    </w:p>
    <w:p w14:paraId="27DBD0F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C.碳水化合物</w:t>
      </w:r>
    </w:p>
    <w:p w14:paraId="30B2CA0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D.盐类</w:t>
      </w:r>
    </w:p>
    <w:p w14:paraId="1A4031A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62. 果树结果出现“大小年”现象，体现了（   ）的相关性。</w:t>
      </w:r>
    </w:p>
    <w:p w14:paraId="0F4DF79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A.地上部分与地下部分  </w:t>
      </w:r>
    </w:p>
    <w:p w14:paraId="24CBCC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B.主茎与侧枝</w:t>
      </w:r>
    </w:p>
    <w:p w14:paraId="16BC85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C.营养生长与生殖生长  </w:t>
      </w:r>
    </w:p>
    <w:p w14:paraId="4B5547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D.以上都不是</w:t>
      </w:r>
    </w:p>
    <w:p w14:paraId="5A486A9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63.干燥疏松的土壤比潮湿坚实的土壤升温更（   ）。</w:t>
      </w:r>
    </w:p>
    <w:p w14:paraId="46A4BA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A.快</w:t>
      </w:r>
    </w:p>
    <w:p w14:paraId="1952442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B.慢</w:t>
      </w:r>
    </w:p>
    <w:p w14:paraId="6E20526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C.一样快</w:t>
      </w:r>
    </w:p>
    <w:p w14:paraId="202450B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D.不确定</w:t>
      </w:r>
    </w:p>
    <w:p w14:paraId="710931F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64.下列植物激素具有极性传导的是（  ）。</w:t>
      </w:r>
    </w:p>
    <w:p w14:paraId="184533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A.生长素</w:t>
      </w:r>
    </w:p>
    <w:p w14:paraId="3873D65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B.赤霉素</w:t>
      </w:r>
    </w:p>
    <w:p w14:paraId="1F58843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C.细胞分裂素</w:t>
      </w:r>
    </w:p>
    <w:p w14:paraId="26D1F9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D.乙烯</w:t>
      </w:r>
    </w:p>
    <w:p w14:paraId="3ED96F5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65.黄瓜栽培管理施肥的原则是（   ）。</w:t>
      </w:r>
    </w:p>
    <w:p w14:paraId="589DB1E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A.少量多次</w:t>
      </w:r>
    </w:p>
    <w:p w14:paraId="264F6F4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B.多量少次</w:t>
      </w:r>
    </w:p>
    <w:p w14:paraId="536E5B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C.尽量少施</w:t>
      </w:r>
    </w:p>
    <w:p w14:paraId="10CA09B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D.集中多施</w:t>
      </w:r>
    </w:p>
    <w:p w14:paraId="310B52D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66.植物对养分的吸收具有（   ）。</w:t>
      </w:r>
    </w:p>
    <w:p w14:paraId="5FAFAB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A.普遍性</w:t>
      </w:r>
    </w:p>
    <w:p w14:paraId="6B8068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B.选择性</w:t>
      </w:r>
    </w:p>
    <w:p w14:paraId="4356640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C.主动性</w:t>
      </w:r>
    </w:p>
    <w:p w14:paraId="207ACC4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D.被动性</w:t>
      </w:r>
    </w:p>
    <w:p w14:paraId="63F7F0A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67.摘叶对根系的影响不包括(   )。</w:t>
      </w:r>
    </w:p>
    <w:p w14:paraId="5E3D12B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A.叶片展开速度加快</w:t>
      </w:r>
    </w:p>
    <w:p w14:paraId="0BC6E3D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B.促进根系强壮</w:t>
      </w:r>
    </w:p>
    <w:p w14:paraId="1EE45A1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C.根系衰老</w:t>
      </w:r>
    </w:p>
    <w:p w14:paraId="3FED6C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D.抑制新根产生</w:t>
      </w:r>
    </w:p>
    <w:p w14:paraId="312E93D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68.能够控制蔬菜徒长的激素是（   ）。</w:t>
      </w:r>
    </w:p>
    <w:p w14:paraId="1A7721F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A.多效唑</w:t>
      </w:r>
    </w:p>
    <w:p w14:paraId="40D1CDD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B.GA</w:t>
      </w:r>
    </w:p>
    <w:p w14:paraId="07A7079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C.IAA</w:t>
      </w:r>
    </w:p>
    <w:p w14:paraId="236FAED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D.CTK</w:t>
      </w:r>
    </w:p>
    <w:p w14:paraId="4D7884A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69.下列（  ）方式进行灌溉可以大量节约用水。</w:t>
      </w:r>
    </w:p>
    <w:p w14:paraId="711C865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A.喷灌</w:t>
      </w:r>
    </w:p>
    <w:p w14:paraId="135814D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B.滴灌</w:t>
      </w:r>
    </w:p>
    <w:p w14:paraId="477BB75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C.沟灌</w:t>
      </w:r>
    </w:p>
    <w:p w14:paraId="6BFA95B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D.漫灌</w:t>
      </w:r>
    </w:p>
    <w:p w14:paraId="1DA0D82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70.光照不足、温度偏高、湿度过大易造成番茄幼苗（  ）。</w:t>
      </w:r>
    </w:p>
    <w:p w14:paraId="4652FB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A.早期疫病</w:t>
      </w:r>
    </w:p>
    <w:p w14:paraId="3EAB923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B.老化苗</w:t>
      </w:r>
    </w:p>
    <w:p w14:paraId="5A6C045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C.徒长</w:t>
      </w:r>
    </w:p>
    <w:p w14:paraId="1E2B90B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D.枯萎病</w:t>
      </w:r>
    </w:p>
    <w:p w14:paraId="37278F5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71.将固氮菌肥料作基肥时可采取的最好方式是（   ）。</w:t>
      </w:r>
    </w:p>
    <w:p w14:paraId="1B8EC8E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A.撒施后翻耕入土</w:t>
      </w:r>
    </w:p>
    <w:p w14:paraId="41115A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B.与有机肥配合进行沟施或穴施</w:t>
      </w:r>
    </w:p>
    <w:p w14:paraId="4F80B7E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C.与化学氮磷肥混合撒施</w:t>
      </w:r>
    </w:p>
    <w:p w14:paraId="7F5D494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D.沟穴施，施后覆土</w:t>
      </w:r>
    </w:p>
    <w:p w14:paraId="442ABA2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72.土壤中微量元素的有效性主要受（   ）影响。</w:t>
      </w:r>
    </w:p>
    <w:p w14:paraId="0A2C7CF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A.土壤pH</w:t>
      </w:r>
    </w:p>
    <w:p w14:paraId="09919BA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B.土壤质地</w:t>
      </w:r>
    </w:p>
    <w:p w14:paraId="3EFCE4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C.土壤有机质</w:t>
      </w:r>
    </w:p>
    <w:p w14:paraId="03FD01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D.土壤含水量</w:t>
      </w:r>
    </w:p>
    <w:p w14:paraId="11DF157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73.植物根系主要吸收（   ）养分。</w:t>
      </w:r>
    </w:p>
    <w:p w14:paraId="21E001F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A.分子态</w:t>
      </w:r>
    </w:p>
    <w:p w14:paraId="5F66691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B.有机态</w:t>
      </w:r>
    </w:p>
    <w:p w14:paraId="320E35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C.离子态</w:t>
      </w:r>
    </w:p>
    <w:p w14:paraId="125FE8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D.矿质态</w:t>
      </w:r>
    </w:p>
    <w:p w14:paraId="30FA0FB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74.受精后的子房发育成（   ）。</w:t>
      </w:r>
    </w:p>
    <w:p w14:paraId="653905B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A.果实</w:t>
      </w:r>
    </w:p>
    <w:p w14:paraId="5259EBF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B.种子</w:t>
      </w:r>
    </w:p>
    <w:p w14:paraId="34ACC93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C.果皮</w:t>
      </w:r>
    </w:p>
    <w:p w14:paraId="6AD3AE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D.胚</w:t>
      </w:r>
    </w:p>
    <w:p w14:paraId="638EB6C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75.豆类作物生长过程中，（  ）能促进发根和根瘤菌的繁殖生长。</w:t>
      </w:r>
    </w:p>
    <w:p w14:paraId="3BF6F42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A.氮</w:t>
      </w:r>
    </w:p>
    <w:p w14:paraId="68BDE56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B.磷</w:t>
      </w:r>
    </w:p>
    <w:p w14:paraId="5BA2558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C.钾</w:t>
      </w:r>
    </w:p>
    <w:p w14:paraId="483570D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D.钙</w:t>
      </w:r>
    </w:p>
    <w:p w14:paraId="1D4F486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76.胚是植物种子最重要的部分，它由（   ）组成。</w:t>
      </w:r>
    </w:p>
    <w:p w14:paraId="2AAC9F0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A.胚乳、胚芽、子叶、胚根</w:t>
      </w:r>
    </w:p>
    <w:p w14:paraId="116BD8D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B.胚轴、胚芽、子叶、胚根</w:t>
      </w:r>
    </w:p>
    <w:p w14:paraId="36FFFD4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C.胚乳、胚轴、子叶、胚根</w:t>
      </w:r>
    </w:p>
    <w:p w14:paraId="16B1E9F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D.胚乳、胚芽、胚轴、胚根</w:t>
      </w:r>
    </w:p>
    <w:p w14:paraId="33B9CB2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77.黄瓜的种子生产上一般采用（   ）种子为好。</w:t>
      </w:r>
    </w:p>
    <w:p w14:paraId="3FDE89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A.1～2 年</w:t>
      </w:r>
    </w:p>
    <w:p w14:paraId="550D28D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B.3～4 年</w:t>
      </w:r>
    </w:p>
    <w:p w14:paraId="73641A6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C.5～6 年</w:t>
      </w:r>
    </w:p>
    <w:p w14:paraId="2BCC30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D.7～8 年</w:t>
      </w:r>
    </w:p>
    <w:p w14:paraId="743E637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78.取植物营养器官的一部分用于繁殖苗木的方法称为（  ）。</w:t>
      </w:r>
    </w:p>
    <w:p w14:paraId="798FD13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A.快速繁殖</w:t>
      </w:r>
    </w:p>
    <w:p w14:paraId="5E6D1CD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B.无土繁殖  </w:t>
      </w:r>
    </w:p>
    <w:p w14:paraId="6ABE131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C.营养繁殖</w:t>
      </w:r>
    </w:p>
    <w:p w14:paraId="29E1F4F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D.容器育苗</w:t>
      </w:r>
    </w:p>
    <w:p w14:paraId="74058D3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79.蔬菜苗期一般需肥量大的元素是（   ）。</w:t>
      </w:r>
    </w:p>
    <w:p w14:paraId="2C16C54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A.氮</w:t>
      </w:r>
    </w:p>
    <w:p w14:paraId="0DD70A7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B.磷</w:t>
      </w:r>
    </w:p>
    <w:p w14:paraId="660666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C.钾</w:t>
      </w:r>
    </w:p>
    <w:p w14:paraId="0C4F17E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D.钙</w:t>
      </w:r>
    </w:p>
    <w:p w14:paraId="3648155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80.番茄栽培过程中使用2,4～D 点花，其最佳浓度范围为（   ）</w:t>
      </w:r>
    </w:p>
    <w:p w14:paraId="78F52A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A.10～20mg/kg</w:t>
      </w:r>
    </w:p>
    <w:p w14:paraId="524ACCC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B.40～50mg/kg</w:t>
      </w:r>
    </w:p>
    <w:p w14:paraId="67543E1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C.100～130mg/kg</w:t>
      </w:r>
    </w:p>
    <w:p w14:paraId="18CB710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D.180～200mg/kg</w:t>
      </w:r>
    </w:p>
    <w:p w14:paraId="06E871A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81.</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大树移栽后的主要工作是维持树体的（   ）</w:t>
      </w:r>
    </w:p>
    <w:p w14:paraId="50B1778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A.有机营养代谢平衡</w:t>
      </w:r>
    </w:p>
    <w:p w14:paraId="0A1D93D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B.水分代谢平衡</w:t>
      </w:r>
    </w:p>
    <w:p w14:paraId="0C5DFF8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C.矿质营养代谢</w:t>
      </w:r>
    </w:p>
    <w:p w14:paraId="63F7A6C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D.激素代谢平衡</w:t>
      </w:r>
    </w:p>
    <w:p w14:paraId="21063F5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82.土壤有机质的主体是（   ）。</w:t>
      </w:r>
    </w:p>
    <w:p w14:paraId="35EE38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A.枯枝落叶</w:t>
      </w:r>
    </w:p>
    <w:p w14:paraId="5B8D5B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B.动植物残体</w:t>
      </w:r>
    </w:p>
    <w:p w14:paraId="06FD61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C.腐殖质</w:t>
      </w:r>
    </w:p>
    <w:p w14:paraId="688057C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D.微生物</w:t>
      </w:r>
    </w:p>
    <w:p w14:paraId="6B2EC16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83.夏季晴天中午覆盖遮阳网可降低地表温度（   ）。</w:t>
      </w:r>
    </w:p>
    <w:p w14:paraId="5A5C9B4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A.3～5℃</w:t>
      </w:r>
    </w:p>
    <w:p w14:paraId="5FC2A1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B.10～12℃</w:t>
      </w:r>
    </w:p>
    <w:p w14:paraId="00874E0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C.15～20℃</w:t>
      </w:r>
    </w:p>
    <w:p w14:paraId="7489268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D.20～25℃</w:t>
      </w:r>
    </w:p>
    <w:p w14:paraId="602A7DF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84.番茄春季大棚栽培棚内温度在（   ）以上时即可定植。</w:t>
      </w:r>
    </w:p>
    <w:p w14:paraId="5E0FF65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w:t>
      </w:r>
    </w:p>
    <w:p w14:paraId="6233B3F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B.5℃</w:t>
      </w:r>
    </w:p>
    <w:p w14:paraId="4ADDC75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C.10℃</w:t>
      </w:r>
    </w:p>
    <w:p w14:paraId="2D0CEF1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D.20℃</w:t>
      </w:r>
    </w:p>
    <w:p w14:paraId="05C9662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85.</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二</w:t>
      </w:r>
      <w:r>
        <w:rPr>
          <w:rFonts w:ascii="仿宋_GB2312" w:eastAsia="仿宋_GB2312" w:cs="仿宋"/>
          <w:kern w:val="0"/>
          <w:sz w:val="28"/>
          <w:szCs w:val="28"/>
        </w:rPr>
        <w:t>十四节气中既</w:t>
      </w:r>
      <w:r>
        <w:rPr>
          <w:rFonts w:hint="eastAsia" w:ascii="仿宋_GB2312" w:eastAsia="仿宋_GB2312" w:cs="仿宋"/>
          <w:kern w:val="0"/>
          <w:sz w:val="28"/>
          <w:szCs w:val="28"/>
        </w:rPr>
        <w:t>可</w:t>
      </w:r>
      <w:r>
        <w:rPr>
          <w:rFonts w:ascii="仿宋_GB2312" w:eastAsia="仿宋_GB2312" w:cs="仿宋"/>
          <w:kern w:val="0"/>
          <w:sz w:val="28"/>
          <w:szCs w:val="28"/>
        </w:rPr>
        <w:t>反应温度变化又</w:t>
      </w:r>
      <w:r>
        <w:rPr>
          <w:rFonts w:hint="eastAsia" w:ascii="仿宋_GB2312" w:eastAsia="仿宋_GB2312" w:cs="仿宋"/>
          <w:kern w:val="0"/>
          <w:sz w:val="28"/>
          <w:szCs w:val="28"/>
        </w:rPr>
        <w:t>可</w:t>
      </w:r>
      <w:r>
        <w:rPr>
          <w:rFonts w:ascii="仿宋_GB2312" w:eastAsia="仿宋_GB2312" w:cs="仿宋"/>
          <w:kern w:val="0"/>
          <w:sz w:val="28"/>
          <w:szCs w:val="28"/>
        </w:rPr>
        <w:t>反</w:t>
      </w:r>
      <w:r>
        <w:rPr>
          <w:rFonts w:hint="eastAsia" w:ascii="仿宋_GB2312" w:eastAsia="仿宋_GB2312" w:cs="仿宋"/>
          <w:kern w:val="0"/>
          <w:sz w:val="28"/>
          <w:szCs w:val="28"/>
        </w:rPr>
        <w:t>映降水</w:t>
      </w:r>
      <w:r>
        <w:rPr>
          <w:rFonts w:ascii="仿宋_GB2312" w:eastAsia="仿宋_GB2312" w:cs="仿宋"/>
          <w:kern w:val="0"/>
          <w:sz w:val="28"/>
          <w:szCs w:val="28"/>
        </w:rPr>
        <w:t>变化的是</w:t>
      </w:r>
      <w:r>
        <w:rPr>
          <w:rFonts w:hint="eastAsia" w:ascii="仿宋_GB2312" w:eastAsia="仿宋_GB2312" w:cs="仿宋"/>
          <w:kern w:val="0"/>
          <w:sz w:val="28"/>
          <w:szCs w:val="28"/>
        </w:rPr>
        <w:t xml:space="preserve">（  </w:t>
      </w:r>
      <w:r>
        <w:rPr>
          <w:rFonts w:ascii="仿宋_GB2312" w:eastAsia="仿宋_GB2312" w:cs="仿宋"/>
          <w:kern w:val="0"/>
          <w:sz w:val="28"/>
          <w:szCs w:val="28"/>
        </w:rPr>
        <w:t xml:space="preserve"> </w:t>
      </w:r>
      <w:r>
        <w:rPr>
          <w:rFonts w:hint="eastAsia" w:ascii="仿宋_GB2312" w:eastAsia="仿宋_GB2312" w:cs="仿宋"/>
          <w:kern w:val="0"/>
          <w:sz w:val="28"/>
          <w:szCs w:val="28"/>
        </w:rPr>
        <w:t xml:space="preserve">）。 </w:t>
      </w:r>
    </w:p>
    <w:p w14:paraId="47F0241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A.谷雨、惊蛰  </w:t>
      </w:r>
    </w:p>
    <w:p w14:paraId="133C3BB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B.寒露、霜降</w:t>
      </w:r>
    </w:p>
    <w:p w14:paraId="3D0ACF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C.春分、雨水</w:t>
      </w:r>
    </w:p>
    <w:p w14:paraId="73C1F0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D.大雪、大寒</w:t>
      </w:r>
    </w:p>
    <w:p w14:paraId="4636566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86.西瓜幼苗发生立枯病，在茎基部产生（  ）的病斑。</w:t>
      </w:r>
    </w:p>
    <w:p w14:paraId="6E11FEC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A.白色</w:t>
      </w:r>
    </w:p>
    <w:p w14:paraId="52AD1FC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B.黄色</w:t>
      </w:r>
    </w:p>
    <w:p w14:paraId="2438BD3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C.暗褐色</w:t>
      </w:r>
    </w:p>
    <w:p w14:paraId="43D6716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D.退绿色</w:t>
      </w:r>
    </w:p>
    <w:p w14:paraId="5473EC7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87.菜青虫主要为害（   ）蔬菜。</w:t>
      </w:r>
    </w:p>
    <w:p w14:paraId="2290C10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A.茄科</w:t>
      </w:r>
    </w:p>
    <w:p w14:paraId="686A4D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B.豆科</w:t>
      </w:r>
    </w:p>
    <w:p w14:paraId="7444DD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C.葫芦科</w:t>
      </w:r>
    </w:p>
    <w:p w14:paraId="5F5A287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D.十字花科</w:t>
      </w:r>
    </w:p>
    <w:p w14:paraId="0C4A24F0">
      <w:pPr>
        <w:spacing w:line="360" w:lineRule="auto"/>
        <w:rPr>
          <w:rFonts w:ascii="仿宋_GB2312" w:hAnsi="仿宋_GB2312" w:eastAsia="仿宋_GB2312" w:cs="仿宋_GB2312"/>
          <w:sz w:val="28"/>
          <w:szCs w:val="28"/>
        </w:rPr>
      </w:pPr>
      <w:r>
        <w:rPr>
          <w:rFonts w:hint="eastAsia" w:ascii="仿宋_GB2312" w:hAnsi="仿宋_GB2312" w:eastAsia="仿宋_GB2312" w:cs="仿宋_GB2312"/>
          <w:sz w:val="28"/>
          <w:szCs w:val="28"/>
        </w:rPr>
        <w:t>88.西瓜发芽最适宜的温度是（   ）。</w:t>
      </w:r>
    </w:p>
    <w:p w14:paraId="6F02655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A.15～20℃</w:t>
      </w:r>
    </w:p>
    <w:p w14:paraId="203F4EB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B.25～30℃</w:t>
      </w:r>
    </w:p>
    <w:p w14:paraId="5CB27FC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C.33～35℃</w:t>
      </w:r>
    </w:p>
    <w:p w14:paraId="327EA6D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D.40～42℃</w:t>
      </w:r>
    </w:p>
    <w:p w14:paraId="5651272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89.从管理用工上看，种植制度中，最费劳力的是（   ）。</w:t>
      </w:r>
    </w:p>
    <w:p w14:paraId="0104C60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A.连作</w:t>
      </w:r>
    </w:p>
    <w:p w14:paraId="4B468A3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B.轮作</w:t>
      </w:r>
    </w:p>
    <w:p w14:paraId="5F091D3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C.套作</w:t>
      </w:r>
    </w:p>
    <w:p w14:paraId="1D7BB5F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D.单一种植</w:t>
      </w:r>
    </w:p>
    <w:p w14:paraId="5EEAEFE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90.土壤缓冲性强是指土壤中加入少量稀酸或稀碱溶液后，其pH 值（   ）。</w:t>
      </w:r>
    </w:p>
    <w:p w14:paraId="37936C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A.增大</w:t>
      </w:r>
    </w:p>
    <w:p w14:paraId="758555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B.减小</w:t>
      </w:r>
    </w:p>
    <w:p w14:paraId="58B999C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C.变化不大</w:t>
      </w:r>
    </w:p>
    <w:p w14:paraId="1918DE7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D.明显变化</w:t>
      </w:r>
    </w:p>
    <w:p w14:paraId="09F8C84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91. 日光温室空气中常常缺乏，需要在生产中进行补充是</w:t>
      </w:r>
      <w:r>
        <w:rPr>
          <w:rFonts w:ascii="仿宋_GB2312" w:eastAsia="仿宋_GB2312" w:cs="仿宋"/>
          <w:kern w:val="0"/>
          <w:sz w:val="28"/>
          <w:szCs w:val="28"/>
        </w:rPr>
        <w:t>（</w:t>
      </w:r>
      <w:r>
        <w:rPr>
          <w:rFonts w:hint="eastAsia" w:ascii="仿宋_GB2312" w:eastAsia="仿宋_GB2312" w:cs="仿宋"/>
          <w:kern w:val="0"/>
          <w:sz w:val="28"/>
          <w:szCs w:val="28"/>
        </w:rPr>
        <w:t xml:space="preserve">  </w:t>
      </w:r>
      <w:r>
        <w:rPr>
          <w:rFonts w:ascii="仿宋_GB2312" w:eastAsia="仿宋_GB2312" w:cs="仿宋"/>
          <w:kern w:val="0"/>
          <w:sz w:val="28"/>
          <w:szCs w:val="28"/>
        </w:rPr>
        <w:t>）。</w:t>
      </w:r>
    </w:p>
    <w:p w14:paraId="7A2B57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A.氧气   </w:t>
      </w:r>
    </w:p>
    <w:p w14:paraId="63E47FD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B.二氧化碳</w:t>
      </w:r>
    </w:p>
    <w:p w14:paraId="1940698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C.氮气  </w:t>
      </w:r>
    </w:p>
    <w:p w14:paraId="324988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D.氨气</w:t>
      </w:r>
    </w:p>
    <w:p w14:paraId="183C506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92.蔬菜缺氮，叶面追肥最好选用（   ）。</w:t>
      </w:r>
    </w:p>
    <w:p w14:paraId="7B6D4F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A.尿素</w:t>
      </w:r>
    </w:p>
    <w:p w14:paraId="4B0018A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B.碳酸氢铵</w:t>
      </w:r>
    </w:p>
    <w:p w14:paraId="501154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C.硝酸钾</w:t>
      </w:r>
    </w:p>
    <w:p w14:paraId="4EE7F7F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D.氯化铵</w:t>
      </w:r>
    </w:p>
    <w:p w14:paraId="1719008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93.蔬菜花而不实，花小而少，很可能是缺（   ）元素引起的症状。</w:t>
      </w:r>
    </w:p>
    <w:p w14:paraId="38407B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A.Mg</w:t>
      </w:r>
    </w:p>
    <w:p w14:paraId="7B82F75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B.Ca</w:t>
      </w:r>
    </w:p>
    <w:p w14:paraId="18D2C3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C.B</w:t>
      </w:r>
    </w:p>
    <w:p w14:paraId="050ABF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D.P</w:t>
      </w:r>
    </w:p>
    <w:p w14:paraId="7BB5581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94.蔬菜大棚内气温分布特点呈（   ）趋势。</w:t>
      </w:r>
    </w:p>
    <w:p w14:paraId="58ED393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A.中间低、两边高</w:t>
      </w:r>
    </w:p>
    <w:p w14:paraId="14F5C3B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B.中间高、两边低</w:t>
      </w:r>
    </w:p>
    <w:p w14:paraId="41A98B2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C.相同</w:t>
      </w:r>
    </w:p>
    <w:p w14:paraId="1BCE672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D.长时期比露地低</w:t>
      </w:r>
    </w:p>
    <w:p w14:paraId="0DB9257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95.黄瓜的主蔓从（   ）以后，节间开始显著伸长。</w:t>
      </w:r>
    </w:p>
    <w:p w14:paraId="236D667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A.4～6 节</w:t>
      </w:r>
    </w:p>
    <w:p w14:paraId="5ECE563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B.8～12 节</w:t>
      </w:r>
    </w:p>
    <w:p w14:paraId="64536D8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C.15～16 节</w:t>
      </w:r>
    </w:p>
    <w:p w14:paraId="46458E0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D.20 节以上</w:t>
      </w:r>
    </w:p>
    <w:p w14:paraId="289F17B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96.</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下列分枝方式中能长成通直主干的是（     ）。</w:t>
      </w:r>
    </w:p>
    <w:p w14:paraId="63DF4E1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A.二叉分枝 </w:t>
      </w:r>
    </w:p>
    <w:p w14:paraId="425A9B8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B.单轴分枝</w:t>
      </w:r>
    </w:p>
    <w:p w14:paraId="109AD4C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C.合轴分枝</w:t>
      </w:r>
    </w:p>
    <w:p w14:paraId="0A5F79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D.假二叉分枝</w:t>
      </w:r>
    </w:p>
    <w:p w14:paraId="3B6D999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97.蔬菜叶片变小，节间缩短，很可能是缺(    )元素引起的症状。</w:t>
      </w:r>
    </w:p>
    <w:p w14:paraId="0AD0ABF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A.Fe</w:t>
      </w:r>
    </w:p>
    <w:p w14:paraId="492621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B.N</w:t>
      </w:r>
    </w:p>
    <w:p w14:paraId="2A95272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C.B</w:t>
      </w:r>
    </w:p>
    <w:p w14:paraId="30BB10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D.Zn</w:t>
      </w:r>
    </w:p>
    <w:p w14:paraId="2AA6DA3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98.蔬菜茎叶暗绿或呈紫红色，是缺乏（   ）元素。</w:t>
      </w:r>
    </w:p>
    <w:p w14:paraId="641BFC1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A.N</w:t>
      </w:r>
    </w:p>
    <w:p w14:paraId="30BD7FC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B.P</w:t>
      </w:r>
    </w:p>
    <w:p w14:paraId="485B12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C.K</w:t>
      </w:r>
    </w:p>
    <w:p w14:paraId="1D891F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D.Fe</w:t>
      </w:r>
    </w:p>
    <w:p w14:paraId="45BF0FB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99.下列属于冷性肥料的是（    ）。</w:t>
      </w:r>
    </w:p>
    <w:p w14:paraId="782FC4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A.马粪</w:t>
      </w:r>
    </w:p>
    <w:p w14:paraId="67F79BD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B.人粪尿</w:t>
      </w:r>
    </w:p>
    <w:p w14:paraId="48D379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C.羊粪</w:t>
      </w:r>
    </w:p>
    <w:p w14:paraId="530C5D9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D.鸡粪</w:t>
      </w:r>
    </w:p>
    <w:p w14:paraId="37B3E9C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100.</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下列选项中，不但能为作物提供养分，还能改善土壤理化性质的肥料是（   ）。</w:t>
      </w:r>
    </w:p>
    <w:p w14:paraId="1FDCB2C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A.磷酸二氢钾</w:t>
      </w:r>
    </w:p>
    <w:p w14:paraId="19A183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B.鸡粪肥</w:t>
      </w:r>
    </w:p>
    <w:p w14:paraId="7AE785A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C.磷肥</w:t>
      </w:r>
    </w:p>
    <w:p w14:paraId="2AD53B5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D.复合肥</w:t>
      </w:r>
    </w:p>
    <w:p w14:paraId="70F539E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101.营养液pH 值&lt;5 时，会导致缺（   ）症状的发生。</w:t>
      </w:r>
    </w:p>
    <w:p w14:paraId="08946BB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A.铁</w:t>
      </w:r>
    </w:p>
    <w:p w14:paraId="3829F67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B.锌</w:t>
      </w:r>
    </w:p>
    <w:p w14:paraId="326C8CD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C.镁</w:t>
      </w:r>
    </w:p>
    <w:p w14:paraId="0840685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D.钙</w:t>
      </w:r>
    </w:p>
    <w:p w14:paraId="5ACD670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102. 下列作物中全是喜凉作物的是（    ）。</w:t>
      </w:r>
      <w:r>
        <w:rPr>
          <w:rFonts w:ascii="仿宋_GB2312" w:eastAsia="仿宋_GB2312" w:cs="仿宋"/>
          <w:kern w:val="0"/>
          <w:sz w:val="28"/>
          <w:szCs w:val="28"/>
        </w:rPr>
        <w:t xml:space="preserve"> </w:t>
      </w:r>
    </w:p>
    <w:p w14:paraId="3131A5E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A.小麦 棉花</w:t>
      </w:r>
    </w:p>
    <w:p w14:paraId="0639006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B.小麦 油菜</w:t>
      </w:r>
    </w:p>
    <w:p w14:paraId="1670E2A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C.玉米 马铃薯 </w:t>
      </w:r>
    </w:p>
    <w:p w14:paraId="790DF60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D.高粱 豌豆</w:t>
      </w:r>
    </w:p>
    <w:p w14:paraId="100A6979">
      <w:pPr>
        <w:autoSpaceDE w:val="0"/>
        <w:autoSpaceDN w:val="0"/>
        <w:adjustRightInd w:val="0"/>
        <w:jc w:val="left"/>
        <w:rPr>
          <w:rFonts w:ascii="仿宋_GB2312" w:eastAsia="仿宋_GB2312" w:cs="仿宋"/>
          <w:kern w:val="0"/>
          <w:sz w:val="28"/>
          <w:szCs w:val="28"/>
        </w:rPr>
      </w:pPr>
      <w:r>
        <w:rPr>
          <w:rFonts w:ascii="仿宋_GB2312" w:eastAsia="仿宋_GB2312" w:cs="仿宋"/>
          <w:kern w:val="0"/>
          <w:sz w:val="28"/>
          <w:szCs w:val="28"/>
        </w:rPr>
        <w:t>103.</w:t>
      </w:r>
      <w:r>
        <w:rPr>
          <w:rFonts w:hint="eastAsia" w:ascii="仿宋_GB2312" w:eastAsia="仿宋_GB2312" w:cs="仿宋"/>
          <w:kern w:val="0"/>
          <w:sz w:val="28"/>
          <w:szCs w:val="28"/>
        </w:rPr>
        <w:t>深耕土壤一般与（   ）相结合，才能创造良好的土壤结构体。</w:t>
      </w:r>
    </w:p>
    <w:p w14:paraId="7FE21BD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A.灌水</w:t>
      </w:r>
    </w:p>
    <w:p w14:paraId="655B88E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B.消毒</w:t>
      </w:r>
    </w:p>
    <w:p w14:paraId="3F2F587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C.施化肥</w:t>
      </w:r>
    </w:p>
    <w:p w14:paraId="09937BA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D.施有机肥</w:t>
      </w:r>
    </w:p>
    <w:p w14:paraId="11802AE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104.根系的功能不包括（   ）。</w:t>
      </w:r>
    </w:p>
    <w:p w14:paraId="2D5585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A.感应功能</w:t>
      </w:r>
    </w:p>
    <w:p w14:paraId="7886C3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B.寄生功能</w:t>
      </w:r>
    </w:p>
    <w:p w14:paraId="1A9100F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C.光合作用</w:t>
      </w:r>
    </w:p>
    <w:p w14:paraId="1F737AC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D.收缩功能</w:t>
      </w:r>
    </w:p>
    <w:p w14:paraId="007EBE2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105.块根是由植物的（  ）膨大而成。</w:t>
      </w:r>
    </w:p>
    <w:p w14:paraId="3EC544F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A.主根</w:t>
      </w:r>
    </w:p>
    <w:p w14:paraId="1D1FEF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B.主根或侧根</w:t>
      </w:r>
    </w:p>
    <w:p w14:paraId="59EC422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C.主根或不定根</w:t>
      </w:r>
    </w:p>
    <w:p w14:paraId="0A4BF8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D.侧根或不定根</w:t>
      </w:r>
    </w:p>
    <w:p w14:paraId="7A6F397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106.日光温室二氧化碳施肥最适宜的时期是(    ）。</w:t>
      </w:r>
    </w:p>
    <w:p w14:paraId="1C4CC39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A.通风换气前</w:t>
      </w:r>
    </w:p>
    <w:p w14:paraId="34B828C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B.揭帘前</w:t>
      </w:r>
    </w:p>
    <w:p w14:paraId="27AE47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C.揭帘后</w:t>
      </w:r>
    </w:p>
    <w:p w14:paraId="5406BDB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D.通风换气后</w:t>
      </w:r>
    </w:p>
    <w:p w14:paraId="1EE4397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107.塑料温室拱形的和屋脊形相比，拱形的透光率（  ）。</w:t>
      </w:r>
    </w:p>
    <w:p w14:paraId="0C4D45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A.高</w:t>
      </w:r>
    </w:p>
    <w:p w14:paraId="3A8274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B.相同</w:t>
      </w:r>
    </w:p>
    <w:p w14:paraId="0DEB30F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C.低</w:t>
      </w:r>
    </w:p>
    <w:p w14:paraId="019B78E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D.有时高，有时低</w:t>
      </w:r>
    </w:p>
    <w:p w14:paraId="370E7D0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108.大部分蔬菜适宜生长的pH 环境为（   ）。</w:t>
      </w:r>
    </w:p>
    <w:p w14:paraId="526C630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A.1.5～2.5</w:t>
      </w:r>
    </w:p>
    <w:p w14:paraId="241EF1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B.2.5～3.5</w:t>
      </w:r>
    </w:p>
    <w:p w14:paraId="41572D8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C.5.5～6.5</w:t>
      </w:r>
    </w:p>
    <w:p w14:paraId="34E11F9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D.7.5～8.5</w:t>
      </w:r>
    </w:p>
    <w:p w14:paraId="25F84FB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109.蔬菜秧苗移栽的深度，一般以（   ）部位为宜。</w:t>
      </w:r>
    </w:p>
    <w:p w14:paraId="0570A7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A.真叶下</w:t>
      </w:r>
    </w:p>
    <w:p w14:paraId="154ADC6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B.叶心</w:t>
      </w:r>
    </w:p>
    <w:p w14:paraId="61882A0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C.子叶下</w:t>
      </w:r>
    </w:p>
    <w:p w14:paraId="5309343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D.子叶上</w:t>
      </w:r>
    </w:p>
    <w:p w14:paraId="1A20714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110.黄瓜定植前一周，需要降低苗床温度，适宜的白天、夜间温度为（  ）。</w:t>
      </w:r>
    </w:p>
    <w:p w14:paraId="565CE4D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A.8℃，6℃</w:t>
      </w:r>
    </w:p>
    <w:p w14:paraId="6A50361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B.10℃，6℃</w:t>
      </w:r>
    </w:p>
    <w:p w14:paraId="22B600E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C.15℃，10℃</w:t>
      </w:r>
    </w:p>
    <w:p w14:paraId="0474A42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D.25℃，20℃</w:t>
      </w:r>
    </w:p>
    <w:p w14:paraId="5C7C3B1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111.</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最为经济有效的防治病虫害的措施是（   ）。</w:t>
      </w:r>
    </w:p>
    <w:p w14:paraId="368B853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A.化学防治</w:t>
      </w:r>
    </w:p>
    <w:p w14:paraId="0787F3E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B.物理防治</w:t>
      </w:r>
    </w:p>
    <w:p w14:paraId="25AAD15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C.轮作 </w:t>
      </w:r>
    </w:p>
    <w:p w14:paraId="4B5CBB5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D.选育推广抗病能力强的品种</w:t>
      </w:r>
    </w:p>
    <w:p w14:paraId="603F81F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112.下列设施中缓冲性能最强的是（   ）。</w:t>
      </w:r>
    </w:p>
    <w:p w14:paraId="40F8EC9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A.连栋温室</w:t>
      </w:r>
    </w:p>
    <w:p w14:paraId="2424EE6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B.大棚</w:t>
      </w:r>
    </w:p>
    <w:p w14:paraId="1EDA428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C.中棚</w:t>
      </w:r>
    </w:p>
    <w:p w14:paraId="70AC53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D.小棚</w:t>
      </w:r>
    </w:p>
    <w:p w14:paraId="199AC55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113.保护地内的蔬菜氨气中毒现象一般发生在施肥后（   ）。</w:t>
      </w:r>
    </w:p>
    <w:p w14:paraId="6A4FE46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A.几小时内</w:t>
      </w:r>
    </w:p>
    <w:p w14:paraId="76BC626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B.1～2 天内</w:t>
      </w:r>
    </w:p>
    <w:p w14:paraId="285ABC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C.3～4 天内</w:t>
      </w:r>
    </w:p>
    <w:p w14:paraId="599E58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D.半月内</w:t>
      </w:r>
    </w:p>
    <w:p w14:paraId="10CF87B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114.在晴朗的冬夜，使用内遮阳保温幕的不加温温室比不使用该幕的平均增温（   ）。</w:t>
      </w:r>
    </w:p>
    <w:p w14:paraId="79D9D3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A.0℃</w:t>
      </w:r>
    </w:p>
    <w:p w14:paraId="726EB9A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B.4～6℃</w:t>
      </w:r>
    </w:p>
    <w:p w14:paraId="270B27D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C.10～15℃</w:t>
      </w:r>
    </w:p>
    <w:p w14:paraId="15CE8B5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D.20～25℃</w:t>
      </w:r>
    </w:p>
    <w:p w14:paraId="7B6737C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115. 炎热中午用井水浇地，造成植物萎蔫，这种现象属于（   ）。</w:t>
      </w:r>
    </w:p>
    <w:p w14:paraId="7A804A0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A.大气干旱         </w:t>
      </w:r>
    </w:p>
    <w:p w14:paraId="3DC7C4B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B.土壤干旱   </w:t>
      </w:r>
    </w:p>
    <w:p w14:paraId="7E686C1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C.生理干旱  </w:t>
      </w:r>
    </w:p>
    <w:p w14:paraId="7BE8A56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D.干热风害 </w:t>
      </w:r>
    </w:p>
    <w:p w14:paraId="0DB31E4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116. 植物组织培养室需要定期用(  )熏蒸。</w:t>
      </w:r>
    </w:p>
    <w:p w14:paraId="5E6BEFD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A.高锰酸钾和甲醛</w:t>
      </w:r>
    </w:p>
    <w:p w14:paraId="2D8C653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B.酒精和洗液</w:t>
      </w:r>
    </w:p>
    <w:p w14:paraId="5DDEE53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C.高锰酸钾和酒精</w:t>
      </w:r>
    </w:p>
    <w:p w14:paraId="77D388D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D.高锰酸钾和洗液</w:t>
      </w:r>
    </w:p>
    <w:p w14:paraId="42C6DE4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117.薄层营养液膜无土栽培技术的栽培营养液层约有（   ）cm。</w:t>
      </w:r>
    </w:p>
    <w:p w14:paraId="0C40E9A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A.0.1～0.5</w:t>
      </w:r>
    </w:p>
    <w:p w14:paraId="55E4EA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B.0.5～1</w:t>
      </w:r>
    </w:p>
    <w:p w14:paraId="12EFFF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C.1～5</w:t>
      </w:r>
    </w:p>
    <w:p w14:paraId="581B52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D.5～10</w:t>
      </w:r>
    </w:p>
    <w:p w14:paraId="26A054D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118.常见的基质栽培不包含（   ）。</w:t>
      </w:r>
    </w:p>
    <w:p w14:paraId="66A6D65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A.槽培</w:t>
      </w:r>
    </w:p>
    <w:p w14:paraId="414D55A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B.袋培</w:t>
      </w:r>
    </w:p>
    <w:p w14:paraId="33A4B4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C.浮板毛管培</w:t>
      </w:r>
    </w:p>
    <w:p w14:paraId="6B40996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D.岩棉培</w:t>
      </w:r>
    </w:p>
    <w:p w14:paraId="1069B88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119.黄瓜基本属于（   ）。</w:t>
      </w:r>
    </w:p>
    <w:p w14:paraId="1AFB19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A.雌雄同株异花植物</w:t>
      </w:r>
    </w:p>
    <w:p w14:paraId="0546A7C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B.雌雄同株同花植物</w:t>
      </w:r>
    </w:p>
    <w:p w14:paraId="160F6A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C.雌雄异株异花植物</w:t>
      </w:r>
    </w:p>
    <w:p w14:paraId="0DFA05A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D.雌雄异株同花植物</w:t>
      </w:r>
    </w:p>
    <w:p w14:paraId="0553FA2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120.一般所说的气温是指距地面(   )高的空气温度。</w:t>
      </w:r>
    </w:p>
    <w:p w14:paraId="780842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A.0m             </w:t>
      </w:r>
    </w:p>
    <w:p w14:paraId="4F19AC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B.0.5m         </w:t>
      </w:r>
    </w:p>
    <w:p w14:paraId="524A42D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C.1m          </w:t>
      </w:r>
    </w:p>
    <w:p w14:paraId="3F1394E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D.1.5m</w:t>
      </w:r>
    </w:p>
    <w:p w14:paraId="5D83EE3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121.下列选项中不属于蔬菜作物三大分类方法的是（   ）。</w:t>
      </w:r>
    </w:p>
    <w:p w14:paraId="7C0BA37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A.植物学分类法</w:t>
      </w:r>
    </w:p>
    <w:p w14:paraId="75C86A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B.营养学分类法</w:t>
      </w:r>
    </w:p>
    <w:p w14:paraId="71F0E21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C.食用器官分类法</w:t>
      </w:r>
    </w:p>
    <w:p w14:paraId="5D89C1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D.农业生物学分类法</w:t>
      </w:r>
    </w:p>
    <w:p w14:paraId="2D58FAE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122.适用于根系大量发生不定芽而长成根蘖苗和树种是（    ）</w:t>
      </w:r>
    </w:p>
    <w:p w14:paraId="6745508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A.香蕉    </w:t>
      </w:r>
    </w:p>
    <w:p w14:paraId="2B179E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B.山楂     </w:t>
      </w:r>
    </w:p>
    <w:p w14:paraId="79117EB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C.菠萝      </w:t>
      </w:r>
    </w:p>
    <w:p w14:paraId="17BE98B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D.草莓</w:t>
      </w:r>
    </w:p>
    <w:p w14:paraId="4D433E8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123.番茄的茎属于（   ）。</w:t>
      </w:r>
    </w:p>
    <w:p w14:paraId="403373E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A.缠绕茎</w:t>
      </w:r>
    </w:p>
    <w:p w14:paraId="5268EA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B.攀缘茎</w:t>
      </w:r>
    </w:p>
    <w:p w14:paraId="005421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C.匍匐茎</w:t>
      </w:r>
    </w:p>
    <w:p w14:paraId="5308302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D.半直立茎</w:t>
      </w:r>
    </w:p>
    <w:p w14:paraId="5C49AE5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124.目前生产中常用的葡萄抗寒砧木是（   ）。</w:t>
      </w:r>
    </w:p>
    <w:p w14:paraId="7E9F6EF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A.山葡萄     </w:t>
      </w:r>
    </w:p>
    <w:p w14:paraId="67179E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B.贝达     </w:t>
      </w:r>
    </w:p>
    <w:p w14:paraId="148A8A0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C.河岸葡萄    </w:t>
      </w:r>
    </w:p>
    <w:p w14:paraId="1F8DFBF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D.沙地葡萄</w:t>
      </w:r>
    </w:p>
    <w:p w14:paraId="4B64284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125.采用插接法嫁接黄瓜时，砧木的嫁接适宜期为（   ）。</w:t>
      </w:r>
    </w:p>
    <w:p w14:paraId="3BD214D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A.真叶刚出现</w:t>
      </w:r>
    </w:p>
    <w:p w14:paraId="0D3100C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B.一叶一心</w:t>
      </w:r>
    </w:p>
    <w:p w14:paraId="0E985C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C.二叶一心</w:t>
      </w:r>
    </w:p>
    <w:p w14:paraId="67AA3C6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D.三叶一心</w:t>
      </w:r>
    </w:p>
    <w:p w14:paraId="1B9F4F8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126.下列关于苗圃地的选择叙述正确的是(   ) 。 </w:t>
      </w:r>
    </w:p>
    <w:p w14:paraId="527B8EF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A.地点应设在需用苗木的中心地带      </w:t>
      </w:r>
    </w:p>
    <w:p w14:paraId="485817C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B.地势应选用背风向阴、地下水位低的平地 </w:t>
      </w:r>
    </w:p>
    <w:p w14:paraId="425DCC9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C.土壤以砂质壤土或粘重土为宜        </w:t>
      </w:r>
    </w:p>
    <w:p w14:paraId="6EF74C39">
      <w:pPr>
        <w:spacing w:line="360" w:lineRule="auto"/>
        <w:ind w:firstLine="280" w:firstLineChars="100"/>
        <w:rPr>
          <w:rFonts w:ascii="仿宋_GB2312" w:eastAsia="仿宋_GB2312" w:cs="仿宋"/>
          <w:kern w:val="0"/>
          <w:sz w:val="28"/>
          <w:szCs w:val="28"/>
        </w:rPr>
      </w:pPr>
      <w:r>
        <w:rPr>
          <w:rFonts w:hint="eastAsia" w:ascii="仿宋_GB2312" w:hAnsi="仿宋_GB2312" w:eastAsia="仿宋_GB2312" w:cs="仿宋_GB2312"/>
          <w:sz w:val="28"/>
          <w:szCs w:val="28"/>
        </w:rPr>
        <w:t>D.离水源、肥源、病虫地带远的新区</w:t>
      </w:r>
    </w:p>
    <w:p w14:paraId="141ACE6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127.改良碱性土壤最好的办法是增施（   ）。</w:t>
      </w:r>
    </w:p>
    <w:p w14:paraId="66CBE47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A.石灰质肥料</w:t>
      </w:r>
    </w:p>
    <w:p w14:paraId="69C2AEE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B.强碱剂</w:t>
      </w:r>
    </w:p>
    <w:p w14:paraId="5BC8738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C.硫磺</w:t>
      </w:r>
    </w:p>
    <w:p w14:paraId="4EAAE9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D.强酸剂</w:t>
      </w:r>
    </w:p>
    <w:p w14:paraId="56A6C3C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128.下列不能满足苗木出圃基本要求的是(   )。</w:t>
      </w:r>
    </w:p>
    <w:p w14:paraId="35F087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A.品种纯正、砧木类型一致      </w:t>
      </w:r>
    </w:p>
    <w:p w14:paraId="6BB5C8F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B.地上部枝条健壮充实、芽体饱满    </w:t>
      </w:r>
    </w:p>
    <w:p w14:paraId="39E97C4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C.有一定高度和粗度            </w:t>
      </w:r>
    </w:p>
    <w:p w14:paraId="310F381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D.主根多、侧根少</w:t>
      </w:r>
    </w:p>
    <w:p w14:paraId="0CEE589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129.下面不属于有机基质的是（  ）。</w:t>
      </w:r>
    </w:p>
    <w:p w14:paraId="2FE5EDD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A.草炭</w:t>
      </w:r>
    </w:p>
    <w:p w14:paraId="2021F12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B.锯末</w:t>
      </w:r>
    </w:p>
    <w:p w14:paraId="1DEB693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C.树皮</w:t>
      </w:r>
    </w:p>
    <w:p w14:paraId="7647066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D.岩棉</w:t>
      </w:r>
    </w:p>
    <w:p w14:paraId="30896E3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130.下列果树中，树冠较大的是(     ) 。</w:t>
      </w:r>
    </w:p>
    <w:p w14:paraId="10B6ADA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A.苹果      </w:t>
      </w:r>
    </w:p>
    <w:p w14:paraId="718253C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B.梨       </w:t>
      </w:r>
    </w:p>
    <w:p w14:paraId="1982BFB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C.核桃       </w:t>
      </w:r>
    </w:p>
    <w:p w14:paraId="0EBBF1E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D.葡萄 </w:t>
      </w:r>
    </w:p>
    <w:p w14:paraId="7FC4FCD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131.标准塑料大棚的跨度为（   ）米。</w:t>
      </w:r>
    </w:p>
    <w:p w14:paraId="5D8FBA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A.3</w:t>
      </w:r>
    </w:p>
    <w:p w14:paraId="5432332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B.5</w:t>
      </w:r>
    </w:p>
    <w:p w14:paraId="66D759B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C.8</w:t>
      </w:r>
    </w:p>
    <w:p w14:paraId="5507857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D.12</w:t>
      </w:r>
    </w:p>
    <w:p w14:paraId="6889B66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132.授粉品种与主栽品种的经济价值相同，且授粉结实率都高，授粉品种可(    )。</w:t>
      </w:r>
    </w:p>
    <w:p w14:paraId="3606695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A.大量配置     </w:t>
      </w:r>
    </w:p>
    <w:p w14:paraId="3168807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B.与主栽品种等量配置    </w:t>
      </w:r>
    </w:p>
    <w:p w14:paraId="29D3F9E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C.低量配置     </w:t>
      </w:r>
    </w:p>
    <w:p w14:paraId="2769871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D.周边少量配置</w:t>
      </w:r>
    </w:p>
    <w:p w14:paraId="23EDBF8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133.常见蔬菜营养液管理中，pH 值一般控制在（   ）。</w:t>
      </w:r>
    </w:p>
    <w:p w14:paraId="38F775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A.4.5～5.5</w:t>
      </w:r>
    </w:p>
    <w:p w14:paraId="7D8092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B.5.5～6.5</w:t>
      </w:r>
    </w:p>
    <w:p w14:paraId="394DFE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C.7～8</w:t>
      </w:r>
    </w:p>
    <w:p w14:paraId="2FF3CF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D.不确定</w:t>
      </w:r>
    </w:p>
    <w:p w14:paraId="67E5878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134.具有通风透光好、便于机械管理和采收的广泛应用的果树栽植方式是(    ) </w:t>
      </w:r>
    </w:p>
    <w:p w14:paraId="2109B0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A.长方形栽植   </w:t>
      </w:r>
    </w:p>
    <w:p w14:paraId="53194DA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B.三角形栽植     </w:t>
      </w:r>
    </w:p>
    <w:p w14:paraId="1328986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C.带状栽植     </w:t>
      </w:r>
    </w:p>
    <w:p w14:paraId="1699F84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D.等高栽植 </w:t>
      </w:r>
    </w:p>
    <w:p w14:paraId="5454075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135.深液流无土栽培技术简称为（   ）。</w:t>
      </w:r>
    </w:p>
    <w:p w14:paraId="5453A02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A.NFT</w:t>
      </w:r>
    </w:p>
    <w:p w14:paraId="6A78666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B.DFT</w:t>
      </w:r>
    </w:p>
    <w:p w14:paraId="5F9E58F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C.DRF</w:t>
      </w:r>
    </w:p>
    <w:p w14:paraId="54D2054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D.FCH</w:t>
      </w:r>
    </w:p>
    <w:p w14:paraId="79F0EAA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136.营造果树防护林宜在果树栽植(     ) </w:t>
      </w:r>
    </w:p>
    <w:p w14:paraId="4B4F5F7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A.定植后2-4 年进行       </w:t>
      </w:r>
    </w:p>
    <w:p w14:paraId="04D2E5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B.定植前1-2 年进行 </w:t>
      </w:r>
    </w:p>
    <w:p w14:paraId="09124D9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C.同时一起进行          </w:t>
      </w:r>
    </w:p>
    <w:p w14:paraId="3F52EFB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D.定植后1-2 年进行 </w:t>
      </w:r>
    </w:p>
    <w:p w14:paraId="26E7957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137.下列不属于蔬菜嫁接育苗的优点的是（   ）。</w:t>
      </w:r>
    </w:p>
    <w:p w14:paraId="49C3184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A.能有效地防止种传病害</w:t>
      </w:r>
    </w:p>
    <w:p w14:paraId="0A0A9F2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B.根系发达，生长势旺，提高产量</w:t>
      </w:r>
    </w:p>
    <w:p w14:paraId="2982618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C.增强对不良环境条件的适应能力，如抗寒能力</w:t>
      </w:r>
    </w:p>
    <w:p w14:paraId="39AB991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D.提高蔬菜对肥水的利用率</w:t>
      </w:r>
    </w:p>
    <w:p w14:paraId="210F206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138.下列果树层性最明显的是(     ) </w:t>
      </w:r>
    </w:p>
    <w:p w14:paraId="6903FA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A.苹果     </w:t>
      </w:r>
    </w:p>
    <w:p w14:paraId="7606128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B.樱桃     </w:t>
      </w:r>
    </w:p>
    <w:p w14:paraId="6105321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C.桃    </w:t>
      </w:r>
    </w:p>
    <w:p w14:paraId="4C8F6B5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D.杏 </w:t>
      </w:r>
    </w:p>
    <w:p w14:paraId="58C7A8F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139.番茄种子的千粒重大约为（   ）g。</w:t>
      </w:r>
    </w:p>
    <w:p w14:paraId="0B5F514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A.2.0～2.7</w:t>
      </w:r>
    </w:p>
    <w:p w14:paraId="36B38C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B.3.0～3.3</w:t>
      </w:r>
    </w:p>
    <w:p w14:paraId="21BF733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C.4.0～4.5</w:t>
      </w:r>
    </w:p>
    <w:p w14:paraId="525DE58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D.5.0～5.5</w:t>
      </w:r>
    </w:p>
    <w:p w14:paraId="02DEDDA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140.下列与果树枝条加粗生长成负相关的因素是(    ) </w:t>
      </w:r>
    </w:p>
    <w:p w14:paraId="04D6600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A.长梢的数量     </w:t>
      </w:r>
    </w:p>
    <w:p w14:paraId="6AD8114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B.枝条的负载量     </w:t>
      </w:r>
    </w:p>
    <w:p w14:paraId="7FC4767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C.长梢的健壮程度   </w:t>
      </w:r>
    </w:p>
    <w:p w14:paraId="575903B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D.枝条上的叶片数</w:t>
      </w:r>
    </w:p>
    <w:p w14:paraId="0C38001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141.在蔬菜生命周期中，土壤持续不断提供所需养分的能力称为（ ）。</w:t>
      </w:r>
    </w:p>
    <w:p w14:paraId="4B99F36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A.有效养分</w:t>
      </w:r>
    </w:p>
    <w:p w14:paraId="6BD8D8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B.无效养分</w:t>
      </w:r>
    </w:p>
    <w:p w14:paraId="645959E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C.必需养分</w:t>
      </w:r>
    </w:p>
    <w:p w14:paraId="1D719B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D.土壤肥力</w:t>
      </w:r>
    </w:p>
    <w:p w14:paraId="6F6367E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142.下列哪个因素是通过间接方式来影响果实的生长发育的 (  )。 </w:t>
      </w:r>
    </w:p>
    <w:p w14:paraId="064250D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A.温度      </w:t>
      </w:r>
    </w:p>
    <w:p w14:paraId="26AE574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B.种子     </w:t>
      </w:r>
    </w:p>
    <w:p w14:paraId="4268078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C.光照     </w:t>
      </w:r>
    </w:p>
    <w:p w14:paraId="51CF04D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D.水分 </w:t>
      </w:r>
    </w:p>
    <w:p w14:paraId="6DD308A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143.番茄种子发芽的适宜温度是（  ）。</w:t>
      </w:r>
    </w:p>
    <w:p w14:paraId="4318CDC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A.15～23℃</w:t>
      </w:r>
    </w:p>
    <w:p w14:paraId="3DD3AE7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B.25～30℃</w:t>
      </w:r>
    </w:p>
    <w:p w14:paraId="458375E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C.32～35℃</w:t>
      </w:r>
    </w:p>
    <w:p w14:paraId="78E9EB9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D.35～40℃</w:t>
      </w:r>
    </w:p>
    <w:p w14:paraId="3F4132C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144.主根发达、分布较深，且对根际环境有较强的适应能力的一类根系是(   )。 </w:t>
      </w:r>
    </w:p>
    <w:p w14:paraId="321407B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A.叶源根系      </w:t>
      </w:r>
    </w:p>
    <w:p w14:paraId="6502E73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B.根蘖根系     </w:t>
      </w:r>
    </w:p>
    <w:p w14:paraId="4F8E57A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C.茎源根系     </w:t>
      </w:r>
    </w:p>
    <w:p w14:paraId="3A4200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D.实生根系 </w:t>
      </w:r>
    </w:p>
    <w:p w14:paraId="51A8201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145.植物的有性生殖过程必须经过（   ）。</w:t>
      </w:r>
    </w:p>
    <w:p w14:paraId="2099F84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A.无丝分裂</w:t>
      </w:r>
    </w:p>
    <w:p w14:paraId="33F5A8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B.有丝分裂</w:t>
      </w:r>
    </w:p>
    <w:p w14:paraId="30D47E7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C.减数分裂</w:t>
      </w:r>
    </w:p>
    <w:p w14:paraId="013615C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D.以上都不对</w:t>
      </w:r>
    </w:p>
    <w:p w14:paraId="6CCAFC3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146.果树幼树期的根系生长高峰主要受哪个因素的影响而多半出现2 个高峰(   )。 </w:t>
      </w:r>
    </w:p>
    <w:p w14:paraId="3BFB872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A.果实发育     </w:t>
      </w:r>
    </w:p>
    <w:p w14:paraId="361F9B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B.花芽分化     </w:t>
      </w:r>
    </w:p>
    <w:p w14:paraId="59FF2DD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C.新梢生长    </w:t>
      </w:r>
    </w:p>
    <w:p w14:paraId="28A88F8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D.营养源</w:t>
      </w:r>
    </w:p>
    <w:p w14:paraId="6108ED9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147.黄瓜的茎为（   ）。</w:t>
      </w:r>
    </w:p>
    <w:p w14:paraId="4FFC5DC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A.地下茎</w:t>
      </w:r>
    </w:p>
    <w:p w14:paraId="7BCB733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B.攀援茎</w:t>
      </w:r>
    </w:p>
    <w:p w14:paraId="3CDF1C8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C.直立茎</w:t>
      </w:r>
    </w:p>
    <w:p w14:paraId="0D7B661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D.匍匐茎</w:t>
      </w:r>
    </w:p>
    <w:p w14:paraId="5B2F665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148.新梢加长生长过程中发生的幼叶能产生一类激发形成层细胞分裂而使枝条加粗生长的物质是(     )。 </w:t>
      </w:r>
    </w:p>
    <w:p w14:paraId="011BA6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A.脱落酸     </w:t>
      </w:r>
    </w:p>
    <w:p w14:paraId="7ACCFD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B.赤霉素      </w:t>
      </w:r>
    </w:p>
    <w:p w14:paraId="1758B1D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C.细胞分裂素    </w:t>
      </w:r>
    </w:p>
    <w:p w14:paraId="6DE3CBE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D.生长素 </w:t>
      </w:r>
    </w:p>
    <w:p w14:paraId="4BDD5F0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149.下列选项中不属于营养液人工增氧的方法是（   ）。</w:t>
      </w:r>
    </w:p>
    <w:p w14:paraId="1CBEED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A.搅拌</w:t>
      </w:r>
    </w:p>
    <w:p w14:paraId="725E5FC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B.压缩空气</w:t>
      </w:r>
    </w:p>
    <w:p w14:paraId="75F417B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C.间歇供液</w:t>
      </w:r>
    </w:p>
    <w:p w14:paraId="159612A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D.长期放置</w:t>
      </w:r>
    </w:p>
    <w:p w14:paraId="3CA6B96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150.果实的重量主要是在哪个时期形成 (   )。</w:t>
      </w:r>
    </w:p>
    <w:p w14:paraId="465704E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A.坐果期     </w:t>
      </w:r>
    </w:p>
    <w:p w14:paraId="562472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B.果实发育前期     </w:t>
      </w:r>
    </w:p>
    <w:p w14:paraId="5D0B1EA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C.果实发育后期    </w:t>
      </w:r>
    </w:p>
    <w:p w14:paraId="5152F19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D.果实发育中后期</w:t>
      </w:r>
    </w:p>
    <w:p w14:paraId="20FD450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151.采用高温闷棚防治黄瓜霜霉病的方法是：头天浇水后，在晴天中午闭棚2h，使植株生长点附近温度升到（   ）℃，然后放风降温。</w:t>
      </w:r>
    </w:p>
    <w:p w14:paraId="716DB0C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A.30℃</w:t>
      </w:r>
    </w:p>
    <w:p w14:paraId="04D4F3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B.45℃</w:t>
      </w:r>
    </w:p>
    <w:p w14:paraId="6C7A8F2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C.60℃</w:t>
      </w:r>
    </w:p>
    <w:p w14:paraId="1D49566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D.75℃</w:t>
      </w:r>
    </w:p>
    <w:p w14:paraId="013A362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152.下列与果树根系生长无关的因子是 (   )。 </w:t>
      </w:r>
    </w:p>
    <w:p w14:paraId="67EF0C9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A.土壤营养   </w:t>
      </w:r>
    </w:p>
    <w:p w14:paraId="5BE3ABE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B.光照    </w:t>
      </w:r>
    </w:p>
    <w:p w14:paraId="3198864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C.土壤通气状况    </w:t>
      </w:r>
    </w:p>
    <w:p w14:paraId="308EC9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D.土壤温度</w:t>
      </w:r>
    </w:p>
    <w:p w14:paraId="1CAFA17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153.植物出现“蕾而不花”，可能是缺乏下列（   ）元素。</w:t>
      </w:r>
    </w:p>
    <w:p w14:paraId="3E033F3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A.氮</w:t>
      </w:r>
    </w:p>
    <w:p w14:paraId="1AB51B8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B.磷</w:t>
      </w:r>
    </w:p>
    <w:p w14:paraId="4D04DE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C.钾</w:t>
      </w:r>
    </w:p>
    <w:p w14:paraId="2129F7D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D.硼</w:t>
      </w:r>
    </w:p>
    <w:p w14:paraId="2DC64CB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154.下列果树的芽具有早熟性的是(    ) 。</w:t>
      </w:r>
    </w:p>
    <w:p w14:paraId="6622F84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A.葡萄     </w:t>
      </w:r>
    </w:p>
    <w:p w14:paraId="18492D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B.苹果    </w:t>
      </w:r>
    </w:p>
    <w:p w14:paraId="5ED3413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C.梨     </w:t>
      </w:r>
    </w:p>
    <w:p w14:paraId="671F958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D.山楂</w:t>
      </w:r>
    </w:p>
    <w:p w14:paraId="3208179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155.一般缺镁最先在（   ）叶表现症状，先是叶缘出现浅黄色绿斑，并向脉间发展。</w:t>
      </w:r>
    </w:p>
    <w:p w14:paraId="062AC98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A.老</w:t>
      </w:r>
    </w:p>
    <w:p w14:paraId="27680E7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B.新</w:t>
      </w:r>
    </w:p>
    <w:p w14:paraId="527332B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C.心</w:t>
      </w:r>
    </w:p>
    <w:p w14:paraId="01EE87F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D.上部</w:t>
      </w:r>
    </w:p>
    <w:p w14:paraId="7CA2991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156.下列与枝梢生长无关的因素是 (   )。 </w:t>
      </w:r>
    </w:p>
    <w:p w14:paraId="0C88FC8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A.环境条件    </w:t>
      </w:r>
    </w:p>
    <w:p w14:paraId="120D08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B.叶片的多少    </w:t>
      </w:r>
    </w:p>
    <w:p w14:paraId="4A0DC3A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C.内源激素     </w:t>
      </w:r>
    </w:p>
    <w:p w14:paraId="3B3688A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D.树冠高低</w:t>
      </w:r>
    </w:p>
    <w:p w14:paraId="4DB67FD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157.春夏季雨水充沛，蔬菜栽培作畦方式以（  ）为主。</w:t>
      </w:r>
    </w:p>
    <w:p w14:paraId="277535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A.高畦</w:t>
      </w:r>
    </w:p>
    <w:p w14:paraId="5762EB9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B.低畦</w:t>
      </w:r>
    </w:p>
    <w:p w14:paraId="00895F4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C.平畦</w:t>
      </w:r>
    </w:p>
    <w:p w14:paraId="0A14BE2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D.以上选项均正确</w:t>
      </w:r>
    </w:p>
    <w:p w14:paraId="5AFA228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158.下列可减少果树生理落果的措施是(   )。</w:t>
      </w:r>
    </w:p>
    <w:p w14:paraId="4BA1129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A.增加土壤肥力   </w:t>
      </w:r>
    </w:p>
    <w:p w14:paraId="507B3B1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B.改善外界条件   </w:t>
      </w:r>
    </w:p>
    <w:p w14:paraId="6585B28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C.减少树体激素含量 </w:t>
      </w:r>
    </w:p>
    <w:p w14:paraId="03B0AE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D.加强晚期病虫防治</w:t>
      </w:r>
    </w:p>
    <w:p w14:paraId="4D217A6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159.蔬菜叶片脉间失绿，可见清晰网状脉纹，是缺乏（   ）元素。</w:t>
      </w:r>
    </w:p>
    <w:p w14:paraId="3778E40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A.Fe</w:t>
      </w:r>
    </w:p>
    <w:p w14:paraId="4D197B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B.Ca</w:t>
      </w:r>
    </w:p>
    <w:p w14:paraId="599D399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C.N</w:t>
      </w:r>
    </w:p>
    <w:p w14:paraId="60B8790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D.Mg</w:t>
      </w:r>
    </w:p>
    <w:p w14:paraId="792800A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160.生产上对幼年树或生长旺盛树的生长后期限制灌水，少施氮肥，这会(   )。 </w:t>
      </w:r>
    </w:p>
    <w:p w14:paraId="18A5A1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A.推迟进入休眠   </w:t>
      </w:r>
    </w:p>
    <w:p w14:paraId="4D299D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B.促进正常休眠    </w:t>
      </w:r>
    </w:p>
    <w:p w14:paraId="6560CDB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C.延长休眠期    </w:t>
      </w:r>
    </w:p>
    <w:p w14:paraId="24389A4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D.打破休眠</w:t>
      </w:r>
    </w:p>
    <w:p w14:paraId="30E44AD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161.土壤酸性或碱性太强都不适合植物生长，酸性土壤可施用（   ）进行改良。</w:t>
      </w:r>
    </w:p>
    <w:p w14:paraId="7293171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A.石膏</w:t>
      </w:r>
    </w:p>
    <w:p w14:paraId="477EF6E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B.明矾</w:t>
      </w:r>
    </w:p>
    <w:p w14:paraId="5A3958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C.磷石膏</w:t>
      </w:r>
    </w:p>
    <w:p w14:paraId="1A4FD2E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D.石灰</w:t>
      </w:r>
    </w:p>
    <w:p w14:paraId="34A514E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162.对花芽形成有抑制作用的内源激素是(   )。 </w:t>
      </w:r>
    </w:p>
    <w:p w14:paraId="2BC11BD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A.细胞分裂素     </w:t>
      </w:r>
    </w:p>
    <w:p w14:paraId="717A5E5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B.赤霉素    </w:t>
      </w:r>
    </w:p>
    <w:p w14:paraId="7A5934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C.脱落酸    </w:t>
      </w:r>
    </w:p>
    <w:p w14:paraId="15BABFD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D.乙烯</w:t>
      </w:r>
    </w:p>
    <w:p w14:paraId="70AB80D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163.当番茄植株生长到一定时期，顶上开花称为（  ）。</w:t>
      </w:r>
    </w:p>
    <w:p w14:paraId="4EE9091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A.自封顶型</w:t>
      </w:r>
    </w:p>
    <w:p w14:paraId="13E1EA9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B.无限生长型</w:t>
      </w:r>
    </w:p>
    <w:p w14:paraId="20C413B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C.杂合型</w:t>
      </w:r>
    </w:p>
    <w:p w14:paraId="48E4804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D.畸形</w:t>
      </w:r>
    </w:p>
    <w:p w14:paraId="72BAAA9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164.下列关于种子对果实生长的影响叙述正确的是(   )。 </w:t>
      </w:r>
    </w:p>
    <w:p w14:paraId="44A9067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A.果实内种子的数目越多,果实越大    </w:t>
      </w:r>
    </w:p>
    <w:p w14:paraId="2ED52F3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B.果实内种子分布情况不影响果实的形状 </w:t>
      </w:r>
    </w:p>
    <w:p w14:paraId="7393874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C.种子对果实生长的影响，随树种、时期而异 </w:t>
      </w:r>
    </w:p>
    <w:p w14:paraId="22D0541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D.没有种子就不可能有果实</w:t>
      </w:r>
    </w:p>
    <w:p w14:paraId="6A16154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165.土壤中最有效水的类型（   ）。</w:t>
      </w:r>
    </w:p>
    <w:p w14:paraId="2DFD74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A.重力水</w:t>
      </w:r>
    </w:p>
    <w:p w14:paraId="3087ACC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B.毛管水</w:t>
      </w:r>
    </w:p>
    <w:p w14:paraId="3D28D8F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C.膜状水</w:t>
      </w:r>
    </w:p>
    <w:p w14:paraId="3B555F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D.吸湿水</w:t>
      </w:r>
    </w:p>
    <w:p w14:paraId="2281755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166.下列关于光对果实色泽的影响叙述正确的是(   )。 </w:t>
      </w:r>
    </w:p>
    <w:p w14:paraId="571742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A.紫外光不易促进上色    </w:t>
      </w:r>
    </w:p>
    <w:p w14:paraId="74F37C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B.光不能诱导花青素的形成 </w:t>
      </w:r>
    </w:p>
    <w:p w14:paraId="2BBCCDB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C.光对色泽的形成是通过光间接作用实现的    </w:t>
      </w:r>
    </w:p>
    <w:p w14:paraId="42063A2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D.光越强,着色越好</w:t>
      </w:r>
    </w:p>
    <w:p w14:paraId="00B3851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167.嫁接育苗的目的之一是提高抗病性，黄瓜嫁接育苗主要预防（  ）。</w:t>
      </w:r>
    </w:p>
    <w:p w14:paraId="6B5ADEB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A.白粉病</w:t>
      </w:r>
    </w:p>
    <w:p w14:paraId="149570A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B.枯萎病</w:t>
      </w:r>
    </w:p>
    <w:p w14:paraId="0375D8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C.霜霉病</w:t>
      </w:r>
    </w:p>
    <w:p w14:paraId="71494B2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D.猝倒病</w:t>
      </w:r>
    </w:p>
    <w:p w14:paraId="4E7146C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168.关于果树根系功能的叙述不正确的是(    )。 </w:t>
      </w:r>
    </w:p>
    <w:p w14:paraId="7E19057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A.固定和支撑果树         </w:t>
      </w:r>
    </w:p>
    <w:p w14:paraId="0FB421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B.吸收水分和矿质养分 </w:t>
      </w:r>
    </w:p>
    <w:p w14:paraId="57DD0C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C.输导养分与生理活性物质   </w:t>
      </w:r>
    </w:p>
    <w:p w14:paraId="4A715F4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D.贮藏养分与合成某些激素</w:t>
      </w:r>
    </w:p>
    <w:p w14:paraId="1BE1A5A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169.黄瓜搭蔓最常见的方式为（   ）。</w:t>
      </w:r>
    </w:p>
    <w:p w14:paraId="1893C88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A.“大”字式</w:t>
      </w:r>
    </w:p>
    <w:p w14:paraId="0040F72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B.“人”字式</w:t>
      </w:r>
    </w:p>
    <w:p w14:paraId="583288A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C.缠绕式</w:t>
      </w:r>
    </w:p>
    <w:p w14:paraId="0BC4B75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D.平行式</w:t>
      </w:r>
    </w:p>
    <w:p w14:paraId="7CEAA0D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170.关于核果类果树的花芽形态分化特点叙述正确的是(   ) 。</w:t>
      </w:r>
    </w:p>
    <w:p w14:paraId="707B80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A.核果类果树的花芽为纯花芽，芽内无叶原始体 </w:t>
      </w:r>
    </w:p>
    <w:p w14:paraId="36C8BC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B.花芽内有两个花蕾原始体 </w:t>
      </w:r>
    </w:p>
    <w:p w14:paraId="28C554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C.花芽分化初期生长点肥大隆起，呈锥形 </w:t>
      </w:r>
    </w:p>
    <w:p w14:paraId="0585F4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D.雌蕊分化期的雌蕊只有一个突起，子房下位</w:t>
      </w:r>
    </w:p>
    <w:p w14:paraId="41B9B4F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171.在酸性土壤条件下，容易导致（   ）元素缺乏。</w:t>
      </w:r>
    </w:p>
    <w:p w14:paraId="12A72AF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A.N</w:t>
      </w:r>
    </w:p>
    <w:p w14:paraId="6A49E3B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B.K</w:t>
      </w:r>
    </w:p>
    <w:p w14:paraId="078EA1A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C.P</w:t>
      </w:r>
    </w:p>
    <w:p w14:paraId="3C8387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D.Zn</w:t>
      </w:r>
    </w:p>
    <w:p w14:paraId="1DECE25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172.关于影响花芽分化的环境因素叙述正确的是(   )。 </w:t>
      </w:r>
    </w:p>
    <w:p w14:paraId="555DD6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A.光是花芽形成的必需条件，紫外光抑制花芽分化 </w:t>
      </w:r>
    </w:p>
    <w:p w14:paraId="7FC9930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B.高温来临提前，则花芽分化开始推迟 </w:t>
      </w:r>
    </w:p>
    <w:p w14:paraId="6DEF36E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C.较低的气温不利于花芽分化 </w:t>
      </w:r>
    </w:p>
    <w:p w14:paraId="4145CB1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D.通常水平枝比直立枝易成花</w:t>
      </w:r>
    </w:p>
    <w:p w14:paraId="0F1D2B4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173.肥料三要素是（  ）。</w:t>
      </w:r>
    </w:p>
    <w:p w14:paraId="1D44083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A.氮磷钾</w:t>
      </w:r>
    </w:p>
    <w:p w14:paraId="1026449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B.钙镁硫</w:t>
      </w:r>
    </w:p>
    <w:p w14:paraId="795DBBC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C.氮磷硫</w:t>
      </w:r>
    </w:p>
    <w:p w14:paraId="585015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D.氮钾钙</w:t>
      </w:r>
    </w:p>
    <w:p w14:paraId="60D0DF0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174.从开花期环境条件方面来提高座果率，下列措施正确的是(   )。 </w:t>
      </w:r>
    </w:p>
    <w:p w14:paraId="1E2E150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A.如有早春晚霜,可果园放烟来提前花期 </w:t>
      </w:r>
    </w:p>
    <w:p w14:paraId="4F30C7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B.如果开花期阴雨气候，可采用蜜蜂传粉授粉 </w:t>
      </w:r>
    </w:p>
    <w:p w14:paraId="438599A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C.如果花期高温干旱，可地面灌水或地上部喷水 </w:t>
      </w:r>
    </w:p>
    <w:p w14:paraId="46A2157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D.如果花期常有大风天气的果园应进行设施栽培</w:t>
      </w:r>
    </w:p>
    <w:p w14:paraId="38B929F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175.不同肥料在不同外界条件下利用率不同，有机肥利用率一般为（   ）。</w:t>
      </w:r>
    </w:p>
    <w:p w14:paraId="7823E06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A.20%～30%</w:t>
      </w:r>
    </w:p>
    <w:p w14:paraId="65D1B26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B.40%～50%</w:t>
      </w:r>
    </w:p>
    <w:p w14:paraId="1F981F9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C.50%～60%</w:t>
      </w:r>
    </w:p>
    <w:p w14:paraId="393B664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D.60%～70%</w:t>
      </w:r>
    </w:p>
    <w:p w14:paraId="34F04EB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176.下列关于果实中含有的几种糖的甜度大小顺序排列正确的是(  )。 </w:t>
      </w:r>
    </w:p>
    <w:p w14:paraId="1CD83FE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A.果糖＞蔗糖＞葡萄糖       </w:t>
      </w:r>
    </w:p>
    <w:p w14:paraId="1F0120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B.蔗糖＞葡萄糖＞果糖 </w:t>
      </w:r>
    </w:p>
    <w:p w14:paraId="767247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C.果糖＞葡萄糖＞蔗糖       </w:t>
      </w:r>
    </w:p>
    <w:p w14:paraId="713E61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D.蔗糖＞果糖＞葡萄糖</w:t>
      </w:r>
    </w:p>
    <w:p w14:paraId="2229C73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177.用肥量少又可避免养分被土壤固定的经济有效的施肥方法为（ ）。</w:t>
      </w:r>
    </w:p>
    <w:p w14:paraId="0B01E4A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A.叶面喷肥</w:t>
      </w:r>
    </w:p>
    <w:p w14:paraId="06F87F9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B.滴灌追肥</w:t>
      </w:r>
    </w:p>
    <w:p w14:paraId="1AC4FB5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C.喷灌追肥</w:t>
      </w:r>
    </w:p>
    <w:p w14:paraId="7A7538C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D.冲施</w:t>
      </w:r>
    </w:p>
    <w:p w14:paraId="18F3CD7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178.桃和杏果中含有的有机酸主要是(   )。 </w:t>
      </w:r>
    </w:p>
    <w:p w14:paraId="60739FC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A.乳酸      </w:t>
      </w:r>
    </w:p>
    <w:p w14:paraId="1C146E4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B.柠檬酸       </w:t>
      </w:r>
    </w:p>
    <w:p w14:paraId="57C1ADF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C.洒石酸      </w:t>
      </w:r>
    </w:p>
    <w:p w14:paraId="57EC3A1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D.苹果酸</w:t>
      </w:r>
    </w:p>
    <w:p w14:paraId="40088EA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179.黄瓜插接过程中，一般接穗比砧木晚播种（   ）天。</w:t>
      </w:r>
    </w:p>
    <w:p w14:paraId="33A341B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A.5～7 天</w:t>
      </w:r>
    </w:p>
    <w:p w14:paraId="1E95F59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B.8～10 天</w:t>
      </w:r>
    </w:p>
    <w:p w14:paraId="13FE7AB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C.10～12 天</w:t>
      </w:r>
    </w:p>
    <w:p w14:paraId="020366F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D.12～15 天</w:t>
      </w:r>
    </w:p>
    <w:p w14:paraId="137543C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180.果实中香气产生的主要场所是(   )。 </w:t>
      </w:r>
    </w:p>
    <w:p w14:paraId="40D0081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A.果肉     </w:t>
      </w:r>
    </w:p>
    <w:p w14:paraId="3C0A875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B.果皮     </w:t>
      </w:r>
    </w:p>
    <w:p w14:paraId="65C7B3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C.果肉和果皮     </w:t>
      </w:r>
    </w:p>
    <w:p w14:paraId="1F9AD92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D.种子</w:t>
      </w:r>
    </w:p>
    <w:p w14:paraId="030A117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181.多数绿叶菜对下列（   ）元素需求最多。</w:t>
      </w:r>
    </w:p>
    <w:p w14:paraId="04D4409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A.N</w:t>
      </w:r>
    </w:p>
    <w:p w14:paraId="53E329D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B.Ca</w:t>
      </w:r>
    </w:p>
    <w:p w14:paraId="75E931C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C.Mg</w:t>
      </w:r>
    </w:p>
    <w:p w14:paraId="05DF03C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D.Zn</w:t>
      </w:r>
    </w:p>
    <w:p w14:paraId="45C3AB0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182.下列关于温度影响果实品质的叙述正确的是(   )。 </w:t>
      </w:r>
    </w:p>
    <w:p w14:paraId="061794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A.一般温度较高，果实含糖量低    </w:t>
      </w:r>
    </w:p>
    <w:p w14:paraId="2000B34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B.温度越高,着色越好，品质越好 </w:t>
      </w:r>
    </w:p>
    <w:p w14:paraId="3BA9764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C.昼夜温差对果品有明显的影响    </w:t>
      </w:r>
    </w:p>
    <w:p w14:paraId="0CC31C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D.昼夜温差越大，糖酸比越低，风味越好</w:t>
      </w:r>
    </w:p>
    <w:p w14:paraId="2072439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183.植物营养的最大效率期一般出现在植物生长的（   ）。</w:t>
      </w:r>
    </w:p>
    <w:p w14:paraId="6F68FBA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A.初期</w:t>
      </w:r>
    </w:p>
    <w:p w14:paraId="5BE4199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B.旺盛期</w:t>
      </w:r>
    </w:p>
    <w:p w14:paraId="5CE6F85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C.成熟期</w:t>
      </w:r>
    </w:p>
    <w:p w14:paraId="4A30C52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D.衰老期</w:t>
      </w:r>
    </w:p>
    <w:p w14:paraId="03B41DB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184.果树各部位截获太阳辐射光能最多的是(   )。 </w:t>
      </w:r>
    </w:p>
    <w:p w14:paraId="204240C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A.树冠外围     </w:t>
      </w:r>
    </w:p>
    <w:p w14:paraId="3EF65A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B.树冠中层     </w:t>
      </w:r>
    </w:p>
    <w:p w14:paraId="5893F3A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C.树冠内层     </w:t>
      </w:r>
    </w:p>
    <w:p w14:paraId="0F58AD0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D.树冠下部</w:t>
      </w:r>
    </w:p>
    <w:p w14:paraId="5985898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185.在下列四种元素中，缺素症首先表现在幼叶的是（   ）元素。</w:t>
      </w:r>
    </w:p>
    <w:p w14:paraId="1C55A4A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A.Ca</w:t>
      </w:r>
    </w:p>
    <w:p w14:paraId="35CAFF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B.K</w:t>
      </w:r>
    </w:p>
    <w:p w14:paraId="38038D7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C.N</w:t>
      </w:r>
    </w:p>
    <w:p w14:paraId="14349D0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D.Mg</w:t>
      </w:r>
    </w:p>
    <w:p w14:paraId="1469340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186.下列果树中最不耐涝的是(   )。 </w:t>
      </w:r>
    </w:p>
    <w:p w14:paraId="346B8E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A.苹果、梨    </w:t>
      </w:r>
    </w:p>
    <w:p w14:paraId="39161F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B.桃、杏     </w:t>
      </w:r>
    </w:p>
    <w:p w14:paraId="739BFD6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C.梨、凤梨    </w:t>
      </w:r>
    </w:p>
    <w:p w14:paraId="0822F5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D.柑橘、荔枝</w:t>
      </w:r>
    </w:p>
    <w:p w14:paraId="64C32DF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187.一般情况下当番茄植株长到约（   ）高时，应及时搭设支架，并将主茎绑缚在支架上。</w:t>
      </w:r>
    </w:p>
    <w:p w14:paraId="7B06142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A.10cm</w:t>
      </w:r>
    </w:p>
    <w:p w14:paraId="7C1E094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B.30cm</w:t>
      </w:r>
    </w:p>
    <w:p w14:paraId="2BAEEC5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C.70cm</w:t>
      </w:r>
    </w:p>
    <w:p w14:paraId="593C621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D.100cm</w:t>
      </w:r>
    </w:p>
    <w:p w14:paraId="0FFA514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188.直接影响果树根系垂直分布深度是 (   )。 </w:t>
      </w:r>
    </w:p>
    <w:p w14:paraId="2CACF3A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A.土壤质地    </w:t>
      </w:r>
    </w:p>
    <w:p w14:paraId="317229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B.土壤水分   </w:t>
      </w:r>
    </w:p>
    <w:p w14:paraId="566B84D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C.土层厚度    </w:t>
      </w:r>
    </w:p>
    <w:p w14:paraId="4F9CFEF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D.土壤通气性</w:t>
      </w:r>
    </w:p>
    <w:p w14:paraId="5905AC7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189.营养液的B 母液以下列哪种盐为中心（   ）。</w:t>
      </w:r>
    </w:p>
    <w:p w14:paraId="50E1FE7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A.硝酸盐</w:t>
      </w:r>
    </w:p>
    <w:p w14:paraId="60F0F84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B.碳酸盐</w:t>
      </w:r>
    </w:p>
    <w:p w14:paraId="0499A1B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C.磷酸盐</w:t>
      </w:r>
    </w:p>
    <w:p w14:paraId="032E6A2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D.硫酸盐</w:t>
      </w:r>
    </w:p>
    <w:p w14:paraId="7DF4235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190.</w:t>
      </w:r>
      <w:r>
        <w:rPr>
          <w:rFonts w:hint="eastAsia"/>
        </w:rPr>
        <w:t xml:space="preserve"> </w:t>
      </w:r>
      <w:r>
        <w:rPr>
          <w:rFonts w:hint="eastAsia" w:ascii="仿宋_GB2312" w:eastAsia="仿宋_GB2312" w:cs="仿宋"/>
          <w:kern w:val="0"/>
          <w:sz w:val="28"/>
          <w:szCs w:val="28"/>
        </w:rPr>
        <w:t xml:space="preserve">限制果树分布的温度因子主要是指(   )。 </w:t>
      </w:r>
    </w:p>
    <w:p w14:paraId="4E41DAF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A.日平均温度   </w:t>
      </w:r>
    </w:p>
    <w:p w14:paraId="69B079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B.夏季最高温    </w:t>
      </w:r>
    </w:p>
    <w:p w14:paraId="685437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C.年积温   </w:t>
      </w:r>
    </w:p>
    <w:p w14:paraId="591519D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D.冬季最低温</w:t>
      </w:r>
    </w:p>
    <w:p w14:paraId="5E7466B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191.绝大多数蔬菜幼苗期用埋施法追肥时，埋肥沟、坑要离作物茎基部（   ）cm 以上。</w:t>
      </w:r>
    </w:p>
    <w:p w14:paraId="746F9C5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A.5</w:t>
      </w:r>
    </w:p>
    <w:p w14:paraId="5A8AE5F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B.10</w:t>
      </w:r>
    </w:p>
    <w:p w14:paraId="1C5711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C.20</w:t>
      </w:r>
    </w:p>
    <w:p w14:paraId="2DB1AFE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D.30</w:t>
      </w:r>
    </w:p>
    <w:p w14:paraId="677FAD5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192.在果树的年生长周期中，需水量较少的是(   )。 </w:t>
      </w:r>
    </w:p>
    <w:p w14:paraId="4763980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A.梨     </w:t>
      </w:r>
    </w:p>
    <w:p w14:paraId="525913E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B.桃      </w:t>
      </w:r>
    </w:p>
    <w:p w14:paraId="23921FD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C.苹果      </w:t>
      </w:r>
    </w:p>
    <w:p w14:paraId="10F5026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D.葡萄</w:t>
      </w:r>
    </w:p>
    <w:p w14:paraId="4D37096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193.现代温室的加热系统主要有热水加热系统和（  ）。</w:t>
      </w:r>
    </w:p>
    <w:p w14:paraId="6094EC0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A.热风加热系统</w:t>
      </w:r>
    </w:p>
    <w:p w14:paraId="4D48C5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B.地热加热系统</w:t>
      </w:r>
    </w:p>
    <w:p w14:paraId="62B99C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C.太阳能加热系统</w:t>
      </w:r>
    </w:p>
    <w:p w14:paraId="58F506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D.蒸汽加热系统</w:t>
      </w:r>
    </w:p>
    <w:p w14:paraId="4B0DD93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194.在某个地区，如果生长期的有效积温不足，则果实(   )。</w:t>
      </w:r>
    </w:p>
    <w:p w14:paraId="6B71725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A.提前成熟    </w:t>
      </w:r>
    </w:p>
    <w:p w14:paraId="53A50B5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B.正常成熟    </w:t>
      </w:r>
    </w:p>
    <w:p w14:paraId="5F92A5F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C.不能正常成熟     </w:t>
      </w:r>
    </w:p>
    <w:p w14:paraId="57C7586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D.延期一周成熟</w:t>
      </w:r>
    </w:p>
    <w:p w14:paraId="22B2B0F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195.银灰色遮阳网的遮光率一般在(   ）。</w:t>
      </w:r>
    </w:p>
    <w:p w14:paraId="76627A9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A.30%～35%</w:t>
      </w:r>
    </w:p>
    <w:p w14:paraId="4C6316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B.45%～50%</w:t>
      </w:r>
    </w:p>
    <w:p w14:paraId="0C5FDE9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C.65%～70%</w:t>
      </w:r>
    </w:p>
    <w:p w14:paraId="6B34B30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D.80%～85%</w:t>
      </w:r>
    </w:p>
    <w:p w14:paraId="6A14BA7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196.不同果树通过自然休眠的需冷量不同，下列果树需冷量低的是(   ) 。</w:t>
      </w:r>
    </w:p>
    <w:p w14:paraId="4D90757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A.苹果     </w:t>
      </w:r>
    </w:p>
    <w:p w14:paraId="087813C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B.梨    </w:t>
      </w:r>
    </w:p>
    <w:p w14:paraId="45AF80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C.桃     </w:t>
      </w:r>
    </w:p>
    <w:p w14:paraId="08C67F2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D.葡萄</w:t>
      </w:r>
    </w:p>
    <w:p w14:paraId="65EF215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197.正常情况下，聚氯乙烯薄膜比聚乙烯薄膜使用寿命（   ）。</w:t>
      </w:r>
    </w:p>
    <w:p w14:paraId="220E0B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A.长</w:t>
      </w:r>
    </w:p>
    <w:p w14:paraId="4493D62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B.短</w:t>
      </w:r>
    </w:p>
    <w:p w14:paraId="4377FBF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C.不一定</w:t>
      </w:r>
    </w:p>
    <w:p w14:paraId="4501D5E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D.看使用方法</w:t>
      </w:r>
    </w:p>
    <w:p w14:paraId="65CF4D6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198.能抑制果树枝梢生长，促进花青素生成的光谱段是 (   ) 。</w:t>
      </w:r>
    </w:p>
    <w:p w14:paraId="0B2124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A.红外光    </w:t>
      </w:r>
    </w:p>
    <w:p w14:paraId="020E357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B.红光     </w:t>
      </w:r>
    </w:p>
    <w:p w14:paraId="1E2EE42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C.紫外光     </w:t>
      </w:r>
    </w:p>
    <w:p w14:paraId="5175DD5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D.黄光</w:t>
      </w:r>
    </w:p>
    <w:p w14:paraId="0B4A4B4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199.我国生产的主要棚膜中，连续覆盖防老化期最长的是(   )。</w:t>
      </w:r>
    </w:p>
    <w:p w14:paraId="2329A6F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A.PE 普通膜</w:t>
      </w:r>
    </w:p>
    <w:p w14:paraId="05557F8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B.PE 防老化膜</w:t>
      </w:r>
    </w:p>
    <w:p w14:paraId="08CA5F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C.PVC 双防膜</w:t>
      </w:r>
    </w:p>
    <w:p w14:paraId="78A4636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D.EVA 多功能膜复合膜</w:t>
      </w:r>
    </w:p>
    <w:p w14:paraId="3838901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200.下列耐碱性较强的果树是(   ) 。</w:t>
      </w:r>
    </w:p>
    <w:p w14:paraId="03E5366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A.苹果    </w:t>
      </w:r>
    </w:p>
    <w:p w14:paraId="6D0A30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B.葡萄    </w:t>
      </w:r>
    </w:p>
    <w:p w14:paraId="15C1D74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C.桃     </w:t>
      </w:r>
    </w:p>
    <w:p w14:paraId="16F14E3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D.梨</w:t>
      </w:r>
    </w:p>
    <w:p w14:paraId="0D8B5EF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201.下列肥料中属于生理碱性盐的是（  ）。</w:t>
      </w:r>
    </w:p>
    <w:p w14:paraId="6E35549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A.NH4N03</w:t>
      </w:r>
    </w:p>
    <w:p w14:paraId="6847056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B.（NH4）2S04</w:t>
      </w:r>
    </w:p>
    <w:p w14:paraId="64E9656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C.Ca（N03）2</w:t>
      </w:r>
    </w:p>
    <w:p w14:paraId="3F57CFA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D.NH4Cl</w:t>
      </w:r>
    </w:p>
    <w:p w14:paraId="2DECCA0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202.果园地膜覆盖中提高地温最高的是(    )。 </w:t>
      </w:r>
    </w:p>
    <w:p w14:paraId="6FB338B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A.黑色膜     </w:t>
      </w:r>
    </w:p>
    <w:p w14:paraId="6B1E732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B.透明聚乙烯薄膜    </w:t>
      </w:r>
    </w:p>
    <w:p w14:paraId="127D20C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C.绿色膜      </w:t>
      </w:r>
    </w:p>
    <w:p w14:paraId="100CFC7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D.银色反光膜</w:t>
      </w:r>
    </w:p>
    <w:p w14:paraId="2382106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203.番茄缺钙时果实发生（    ）。</w:t>
      </w:r>
    </w:p>
    <w:p w14:paraId="3D16D3F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A.脐腐病</w:t>
      </w:r>
    </w:p>
    <w:p w14:paraId="254B797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B.蕨叶病</w:t>
      </w:r>
    </w:p>
    <w:p w14:paraId="19A8FEF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C.裂果病</w:t>
      </w:r>
    </w:p>
    <w:p w14:paraId="6ED1299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D.果腐病</w:t>
      </w:r>
    </w:p>
    <w:p w14:paraId="6F9A56C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204.下列有机肥料中，含钾量最高的是(   )。 </w:t>
      </w:r>
    </w:p>
    <w:p w14:paraId="65C9348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A.菜子饼  </w:t>
      </w:r>
    </w:p>
    <w:p w14:paraId="6251183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B.草木灰    </w:t>
      </w:r>
    </w:p>
    <w:p w14:paraId="7E0027C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C.河泥     </w:t>
      </w:r>
    </w:p>
    <w:p w14:paraId="48C4139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D.蚕</w:t>
      </w:r>
    </w:p>
    <w:p w14:paraId="3710697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205.将固氮菌肥料作基肥时，采取最好的施肥方式是（  ）。</w:t>
      </w:r>
    </w:p>
    <w:p w14:paraId="5A9E0DA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A.撒施后翻耕入土</w:t>
      </w:r>
    </w:p>
    <w:p w14:paraId="24C69A9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B.与有机肥配合进行沟施或穴施</w:t>
      </w:r>
    </w:p>
    <w:p w14:paraId="17C9185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C.与化学氮磷肥混合撒施</w:t>
      </w:r>
    </w:p>
    <w:p w14:paraId="303433C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D.沟穴施，施后覆土</w:t>
      </w:r>
    </w:p>
    <w:p w14:paraId="165B81F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206.果园深翻扩穴的最佳时期是(    ) 。</w:t>
      </w:r>
    </w:p>
    <w:p w14:paraId="6D792AD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A.春季    </w:t>
      </w:r>
    </w:p>
    <w:p w14:paraId="699FF72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B.夏季     </w:t>
      </w:r>
    </w:p>
    <w:p w14:paraId="2FDFCD2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C.秋季       </w:t>
      </w:r>
    </w:p>
    <w:p w14:paraId="3B25D91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D.冬季</w:t>
      </w:r>
    </w:p>
    <w:p w14:paraId="19FBBD6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207.工厂化穴盘育苗最早应用不包括的国家是（   ）。</w:t>
      </w:r>
    </w:p>
    <w:p w14:paraId="3547F1D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A.中国</w:t>
      </w:r>
    </w:p>
    <w:p w14:paraId="045DA13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B.美国</w:t>
      </w:r>
    </w:p>
    <w:p w14:paraId="2D94911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C.日本</w:t>
      </w:r>
    </w:p>
    <w:p w14:paraId="2FE7AE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D.荷兰</w:t>
      </w:r>
    </w:p>
    <w:p w14:paraId="0F654C0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208.根据果树营养诊断结果来指导施肥中，效果较好的方法是(  ) 。</w:t>
      </w:r>
    </w:p>
    <w:p w14:paraId="347C0B7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A.叶分析   </w:t>
      </w:r>
    </w:p>
    <w:p w14:paraId="233E7D3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B.叶片颜色诊断    </w:t>
      </w:r>
    </w:p>
    <w:p w14:paraId="00D856C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C.外观诊断    </w:t>
      </w:r>
    </w:p>
    <w:p w14:paraId="420874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D.土壤营养诊断</w:t>
      </w:r>
    </w:p>
    <w:p w14:paraId="40927C6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209.进行果树叶面喷肥的时间最好在(   ) 。</w:t>
      </w:r>
    </w:p>
    <w:p w14:paraId="08756A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w:t>
      </w:r>
      <w:r>
        <w:rPr>
          <w:rFonts w:ascii="仿宋_GB2312" w:hAnsi="仿宋_GB2312" w:eastAsia="仿宋_GB2312" w:cs="仿宋_GB2312"/>
          <w:sz w:val="28"/>
          <w:szCs w:val="28"/>
        </w:rPr>
        <w:t xml:space="preserve">6:00-8:00    </w:t>
      </w:r>
    </w:p>
    <w:p w14:paraId="2082147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w:t>
      </w:r>
      <w:r>
        <w:rPr>
          <w:rFonts w:ascii="仿宋_GB2312" w:hAnsi="仿宋_GB2312" w:eastAsia="仿宋_GB2312" w:cs="仿宋_GB2312"/>
          <w:sz w:val="28"/>
          <w:szCs w:val="28"/>
        </w:rPr>
        <w:t xml:space="preserve">8:00-10:00    </w:t>
      </w:r>
    </w:p>
    <w:p w14:paraId="4A03137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w:t>
      </w:r>
      <w:r>
        <w:rPr>
          <w:rFonts w:ascii="仿宋_GB2312" w:hAnsi="仿宋_GB2312" w:eastAsia="仿宋_GB2312" w:cs="仿宋_GB2312"/>
          <w:sz w:val="28"/>
          <w:szCs w:val="28"/>
        </w:rPr>
        <w:t xml:space="preserve">10:00-12:00    </w:t>
      </w:r>
    </w:p>
    <w:p w14:paraId="33049BD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w:t>
      </w:r>
      <w:r>
        <w:rPr>
          <w:rFonts w:ascii="仿宋_GB2312" w:hAnsi="仿宋_GB2312" w:eastAsia="仿宋_GB2312" w:cs="仿宋_GB2312"/>
          <w:sz w:val="28"/>
          <w:szCs w:val="28"/>
        </w:rPr>
        <w:t xml:space="preserve">14:00-16:00 </w:t>
      </w:r>
    </w:p>
    <w:p w14:paraId="730779D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210.要求中性到微酸性土壤的果树或砧木是 (   )。 </w:t>
      </w:r>
    </w:p>
    <w:p w14:paraId="2107AA1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A.苹果    </w:t>
      </w:r>
    </w:p>
    <w:p w14:paraId="3E344D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B.葡萄    </w:t>
      </w:r>
    </w:p>
    <w:p w14:paraId="21D236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C.海棠    </w:t>
      </w:r>
    </w:p>
    <w:p w14:paraId="4970FC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D.杜梨 </w:t>
      </w:r>
    </w:p>
    <w:p w14:paraId="550A5FF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211.过磷酸钙与硝态氮肥长期混合会引起硝态氮的逐渐分解，所以（   ）。</w:t>
      </w:r>
    </w:p>
    <w:p w14:paraId="5900B0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A.可以混合</w:t>
      </w:r>
    </w:p>
    <w:p w14:paraId="1666A6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B.不能混合</w:t>
      </w:r>
    </w:p>
    <w:p w14:paraId="3B37E88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C.不宜混合</w:t>
      </w:r>
    </w:p>
    <w:p w14:paraId="02F2019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D.可以暂时混合但不能久置</w:t>
      </w:r>
    </w:p>
    <w:p w14:paraId="23BDA95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212.关于果园防止果树冻害的措施叙述不正确的是(   ) 。</w:t>
      </w:r>
    </w:p>
    <w:p w14:paraId="32D2139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A.选择栽植抗寒树种和品种      </w:t>
      </w:r>
    </w:p>
    <w:p w14:paraId="52B4D17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B.选择适宜的建园地点 </w:t>
      </w:r>
    </w:p>
    <w:p w14:paraId="3834C58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C.采用抗寒栽培方式            </w:t>
      </w:r>
    </w:p>
    <w:p w14:paraId="523F35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D.通过修剪提高树体耐寒能力</w:t>
      </w:r>
    </w:p>
    <w:p w14:paraId="08905D7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213.黄瓜定植前要浇足底水，一般定植（   ）天后浇缓苗水</w:t>
      </w:r>
    </w:p>
    <w:p w14:paraId="452BF7F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A.当天</w:t>
      </w:r>
    </w:p>
    <w:p w14:paraId="349800A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w:t>
      </w:r>
    </w:p>
    <w:p w14:paraId="54CB6DA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C.3</w:t>
      </w:r>
    </w:p>
    <w:p w14:paraId="1DCB35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D.7</w:t>
      </w:r>
    </w:p>
    <w:p w14:paraId="373F9DA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214.一般认为落叶果树适宜的叶面积指数为(   )。 </w:t>
      </w:r>
    </w:p>
    <w:p w14:paraId="03DE6C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A.2～3    </w:t>
      </w:r>
    </w:p>
    <w:p w14:paraId="4A204DA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B.4～5    </w:t>
      </w:r>
    </w:p>
    <w:p w14:paraId="696F48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C.6～9      </w:t>
      </w:r>
    </w:p>
    <w:p w14:paraId="1A11172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D.8～9</w:t>
      </w:r>
    </w:p>
    <w:p w14:paraId="7D75A95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 215.下列化学药品中不可用于育苗基质消毒的是（   ）。</w:t>
      </w:r>
    </w:p>
    <w:p w14:paraId="55FABF6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A.甲醛</w:t>
      </w:r>
    </w:p>
    <w:p w14:paraId="30EED4A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B.次氯酸钙</w:t>
      </w:r>
    </w:p>
    <w:p w14:paraId="2CD039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C.次氯酸钠</w:t>
      </w:r>
    </w:p>
    <w:p w14:paraId="5FF70F1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D.氰化钾</w:t>
      </w:r>
    </w:p>
    <w:p w14:paraId="166CB83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216.果树幼龄期间，修剪的主要任务是(   )。</w:t>
      </w:r>
    </w:p>
    <w:p w14:paraId="6185F64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A.整形       </w:t>
      </w:r>
    </w:p>
    <w:p w14:paraId="59FBA5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B.打开光照      </w:t>
      </w:r>
    </w:p>
    <w:p w14:paraId="27C29FE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C.促进成花      </w:t>
      </w:r>
    </w:p>
    <w:p w14:paraId="5E0BB78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D.通风防病</w:t>
      </w:r>
    </w:p>
    <w:p w14:paraId="34FD288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217.一切非机械干燥种子的方法是(   ）。</w:t>
      </w:r>
    </w:p>
    <w:p w14:paraId="4B3F925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A.冷冻干燥</w:t>
      </w:r>
    </w:p>
    <w:p w14:paraId="5F0011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B.加温干燥</w:t>
      </w:r>
    </w:p>
    <w:p w14:paraId="7EC6C25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C.自然干燥</w:t>
      </w:r>
    </w:p>
    <w:p w14:paraId="10C1B2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D.通风干燥</w:t>
      </w:r>
    </w:p>
    <w:p w14:paraId="552D6E7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218.增加光合面积， 主要是提高有效的(   )。</w:t>
      </w:r>
    </w:p>
    <w:p w14:paraId="486D866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A.根冠比     </w:t>
      </w:r>
    </w:p>
    <w:p w14:paraId="696572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B.叶面积指数       </w:t>
      </w:r>
    </w:p>
    <w:p w14:paraId="5E6F449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C.光合时间     </w:t>
      </w:r>
    </w:p>
    <w:p w14:paraId="0722908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D.叶片数量</w:t>
      </w:r>
    </w:p>
    <w:p w14:paraId="4AC4A2A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219.发芽试验中发芽率结果应保留（   ）。</w:t>
      </w:r>
    </w:p>
    <w:p w14:paraId="56E61D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 位小数</w:t>
      </w:r>
    </w:p>
    <w:p w14:paraId="38F8E2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 位小数</w:t>
      </w:r>
    </w:p>
    <w:p w14:paraId="1B84D6A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C.3 位小数</w:t>
      </w:r>
    </w:p>
    <w:p w14:paraId="13D62B1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D.整数</w:t>
      </w:r>
    </w:p>
    <w:p w14:paraId="6A4A930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220.对生长过旺、萌芽率低、成枝少的果树，修剪要求是(   ) 。</w:t>
      </w:r>
    </w:p>
    <w:p w14:paraId="2A3DF2C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A.冬季不剪，待春季萌芽后再修剪 </w:t>
      </w:r>
    </w:p>
    <w:p w14:paraId="5E957F4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B.正常冬季修剪  </w:t>
      </w:r>
    </w:p>
    <w:p w14:paraId="780C858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C.只进行夏季修剪</w:t>
      </w:r>
    </w:p>
    <w:p w14:paraId="1E4B106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D.只进行秋季修剪</w:t>
      </w:r>
    </w:p>
    <w:p w14:paraId="340E3CE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221.下列基质中，阳离子代换量较大的是(   )。</w:t>
      </w:r>
    </w:p>
    <w:p w14:paraId="11CA33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A.草炭</w:t>
      </w:r>
    </w:p>
    <w:p w14:paraId="044D63A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B.沙</w:t>
      </w:r>
    </w:p>
    <w:p w14:paraId="4B0E66E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C.岩棉</w:t>
      </w:r>
    </w:p>
    <w:p w14:paraId="611DC9D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D.石砾</w:t>
      </w:r>
    </w:p>
    <w:p w14:paraId="1A8C646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222.疏剪的作用主要是(   )。</w:t>
      </w:r>
    </w:p>
    <w:p w14:paraId="54C4E85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A.增强顶端优势      </w:t>
      </w:r>
    </w:p>
    <w:p w14:paraId="6FD52BA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B.改变枝削的角度与方向 </w:t>
      </w:r>
    </w:p>
    <w:p w14:paraId="153C8F9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C.抑前促后          </w:t>
      </w:r>
    </w:p>
    <w:p w14:paraId="46DE2C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D.减少分枝，通风透光</w:t>
      </w:r>
    </w:p>
    <w:p w14:paraId="4F15C05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223.（  ）是指在规定时间内能正常发芽的种子粒数占供试种子粒数的百分率。</w:t>
      </w:r>
    </w:p>
    <w:p w14:paraId="0C365BC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A.发芽率</w:t>
      </w:r>
    </w:p>
    <w:p w14:paraId="012202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B.发芽势</w:t>
      </w:r>
    </w:p>
    <w:p w14:paraId="3D80B93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C.净度</w:t>
      </w:r>
    </w:p>
    <w:p w14:paraId="1D64F6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D.饱满度</w:t>
      </w:r>
    </w:p>
    <w:p w14:paraId="7BDCFD5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224.生产上，过量负载造成果树的不良后果是(   )。</w:t>
      </w:r>
    </w:p>
    <w:p w14:paraId="41B98C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A.落果严重     </w:t>
      </w:r>
    </w:p>
    <w:p w14:paraId="145565D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B.易引发大小年    </w:t>
      </w:r>
    </w:p>
    <w:p w14:paraId="0C0EAD0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C.树势削弱     </w:t>
      </w:r>
    </w:p>
    <w:p w14:paraId="6685B52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D.加剧果实裂口</w:t>
      </w:r>
    </w:p>
    <w:p w14:paraId="5544FD1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225.西瓜根系主要易感染（   ），所以不能连作。</w:t>
      </w:r>
    </w:p>
    <w:p w14:paraId="40FB9FE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A.枯萎病</w:t>
      </w:r>
    </w:p>
    <w:p w14:paraId="357DD4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B.霜霉病</w:t>
      </w:r>
    </w:p>
    <w:p w14:paraId="6AAD29B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C.病毒病</w:t>
      </w:r>
    </w:p>
    <w:p w14:paraId="6CB98F8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D.猝倒病</w:t>
      </w:r>
    </w:p>
    <w:p w14:paraId="3A95688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226.适于制作果汁、果酱、果酒的原料，果实需要达到(   )。 </w:t>
      </w:r>
    </w:p>
    <w:p w14:paraId="37E7F0E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A.可采成熟度   </w:t>
      </w:r>
    </w:p>
    <w:p w14:paraId="2130160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B.食用成熟度    </w:t>
      </w:r>
    </w:p>
    <w:p w14:paraId="0B60A9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C.生理成熟度     </w:t>
      </w:r>
    </w:p>
    <w:p w14:paraId="69D7BD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D.商品成熟度</w:t>
      </w:r>
    </w:p>
    <w:p w14:paraId="40A696F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227.过磷酸钙与下列（   ）肥料混合会引起水溶性钙的利用率降低。</w:t>
      </w:r>
    </w:p>
    <w:p w14:paraId="77F01D9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A.有机肥料</w:t>
      </w:r>
    </w:p>
    <w:p w14:paraId="40EE5FF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B.氯化钾</w:t>
      </w:r>
    </w:p>
    <w:p w14:paraId="2A7BDAB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C.草木灰</w:t>
      </w:r>
    </w:p>
    <w:p w14:paraId="20ED753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D.硫酸铵</w:t>
      </w:r>
    </w:p>
    <w:p w14:paraId="5306A60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228.下列激素能抑制新梢生长的是 (   ) 。</w:t>
      </w:r>
    </w:p>
    <w:p w14:paraId="4F3F998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A.生长素      </w:t>
      </w:r>
    </w:p>
    <w:p w14:paraId="1736BB4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B.赤霉素     </w:t>
      </w:r>
    </w:p>
    <w:p w14:paraId="5BA3EBF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C.细胞分裂素    </w:t>
      </w:r>
    </w:p>
    <w:p w14:paraId="5D347D1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D.脱落酸</w:t>
      </w:r>
    </w:p>
    <w:p w14:paraId="4FF5F07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229.属于速效磷肥的是(   ）。</w:t>
      </w:r>
    </w:p>
    <w:p w14:paraId="521294F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A.钙镁磷肥</w:t>
      </w:r>
    </w:p>
    <w:p w14:paraId="3F9E75B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B.磷矿粉</w:t>
      </w:r>
    </w:p>
    <w:p w14:paraId="70E2719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C.钢渣磷肥</w:t>
      </w:r>
    </w:p>
    <w:p w14:paraId="37819D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D.过磷酸钙</w:t>
      </w:r>
    </w:p>
    <w:p w14:paraId="3390E3C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230.下列果树根部易形成根蘖的是（   ）。</w:t>
      </w:r>
    </w:p>
    <w:p w14:paraId="5098410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A.桃                 </w:t>
      </w:r>
    </w:p>
    <w:p w14:paraId="42B4951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B.李                   </w:t>
      </w:r>
    </w:p>
    <w:p w14:paraId="368B755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C.杏                   </w:t>
      </w:r>
    </w:p>
    <w:p w14:paraId="117F66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D.葡萄</w:t>
      </w:r>
    </w:p>
    <w:p w14:paraId="33945F9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231.影响土壤温度变化速率的物理量是（   ）。</w:t>
      </w:r>
    </w:p>
    <w:p w14:paraId="6766400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A.土壤导热率</w:t>
      </w:r>
    </w:p>
    <w:p w14:paraId="6F0FE2E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B.土壤吸热性</w:t>
      </w:r>
    </w:p>
    <w:p w14:paraId="18D95EE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C.土壤热容量</w:t>
      </w:r>
    </w:p>
    <w:p w14:paraId="39BCE8E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D.土壤散热性</w:t>
      </w:r>
    </w:p>
    <w:p w14:paraId="323149C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232.由花粉发芽到出现合子的全部过程称为（   ）。</w:t>
      </w:r>
    </w:p>
    <w:p w14:paraId="7EC104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A.授粉               </w:t>
      </w:r>
    </w:p>
    <w:p w14:paraId="6C5A08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B.受精                </w:t>
      </w:r>
    </w:p>
    <w:p w14:paraId="078FD4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C.坐果               </w:t>
      </w:r>
    </w:p>
    <w:p w14:paraId="6D503A1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D.结实</w:t>
      </w:r>
    </w:p>
    <w:p w14:paraId="50152BD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233.无土载培中，常用（   ）作为铁源，这是因为这些化合物能使铁保持较长时间的有效性。</w:t>
      </w:r>
    </w:p>
    <w:p w14:paraId="1CED9F8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A.无机铁盐</w:t>
      </w:r>
    </w:p>
    <w:p w14:paraId="5F1B4DD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B.有机铁盐</w:t>
      </w:r>
    </w:p>
    <w:p w14:paraId="79D3458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C.螯合铁</w:t>
      </w:r>
    </w:p>
    <w:p w14:paraId="2ED8AEC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D.铁粉</w:t>
      </w:r>
    </w:p>
    <w:p w14:paraId="0623C24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234.下列砧木与李嫁接，有矮化作用（   ）。</w:t>
      </w:r>
    </w:p>
    <w:p w14:paraId="07F5CCB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A.毛樱桃             </w:t>
      </w:r>
    </w:p>
    <w:p w14:paraId="60B6640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B.毛桃                 </w:t>
      </w:r>
    </w:p>
    <w:p w14:paraId="480A1FE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C.山桃            </w:t>
      </w:r>
    </w:p>
    <w:p w14:paraId="6A7B773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D.杏</w:t>
      </w:r>
    </w:p>
    <w:p w14:paraId="6FE0154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235.所有植物的种子均具有（   ）。</w:t>
      </w:r>
    </w:p>
    <w:p w14:paraId="43FD1D2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A.相同的子叶数</w:t>
      </w:r>
    </w:p>
    <w:p w14:paraId="60418EC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B.胚乳</w:t>
      </w:r>
    </w:p>
    <w:p w14:paraId="021915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C.胚</w:t>
      </w:r>
    </w:p>
    <w:p w14:paraId="337F272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D.外胚乳</w:t>
      </w:r>
    </w:p>
    <w:p w14:paraId="68D8DFB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236.丘陵地较适宜建果园的坡为（   ）。</w:t>
      </w:r>
    </w:p>
    <w:p w14:paraId="2EA6E8A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A.南坡、北坡                                </w:t>
      </w:r>
    </w:p>
    <w:p w14:paraId="53A5E5E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B.东南坡、北坡         </w:t>
      </w:r>
    </w:p>
    <w:p w14:paraId="16CBDAB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C.南坡、东北坡                               </w:t>
      </w:r>
    </w:p>
    <w:p w14:paraId="0357372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D.东南坡、东坡</w:t>
      </w:r>
    </w:p>
    <w:p w14:paraId="1D03F5A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237.一般黄瓜叶片的光合能力只有（   ）天左右。</w:t>
      </w:r>
    </w:p>
    <w:p w14:paraId="2B353A3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A.10</w:t>
      </w:r>
    </w:p>
    <w:p w14:paraId="534DDE8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B.30</w:t>
      </w:r>
    </w:p>
    <w:p w14:paraId="54D1215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C.60</w:t>
      </w:r>
    </w:p>
    <w:p w14:paraId="7CD040F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D.100</w:t>
      </w:r>
    </w:p>
    <w:p w14:paraId="2AB22E6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238.刨树盘的好处有（   ）。</w:t>
      </w:r>
    </w:p>
    <w:p w14:paraId="0972D4C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A.增加水分蒸发                             </w:t>
      </w:r>
    </w:p>
    <w:p w14:paraId="2FF15DB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B.降低土温</w:t>
      </w:r>
    </w:p>
    <w:p w14:paraId="2ECCADC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C.降低土壤的通气性                         </w:t>
      </w:r>
    </w:p>
    <w:p w14:paraId="0C5824F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D.防止杂草生长</w:t>
      </w:r>
    </w:p>
    <w:p w14:paraId="418B774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239.果园施基肥应以（   ）为主。</w:t>
      </w:r>
    </w:p>
    <w:p w14:paraId="2DE713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A.有机肥料                                    </w:t>
      </w:r>
    </w:p>
    <w:p w14:paraId="20C53BF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B.无机肥料         </w:t>
      </w:r>
    </w:p>
    <w:p w14:paraId="26579C1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C.菌肥                                        </w:t>
      </w:r>
    </w:p>
    <w:p w14:paraId="69ECC74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D.绿肥</w:t>
      </w:r>
    </w:p>
    <w:p w14:paraId="6569419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240.种子发芽过程生理性吸水量最大的时期为（  ）。</w:t>
      </w:r>
    </w:p>
    <w:p w14:paraId="7A4BF63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A.吸胀</w:t>
      </w:r>
    </w:p>
    <w:p w14:paraId="3427A53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B.萌动</w:t>
      </w:r>
    </w:p>
    <w:p w14:paraId="491FB9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C.吸胀和萌动</w:t>
      </w:r>
    </w:p>
    <w:p w14:paraId="683E952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D.发芽和幼苗形态建成</w:t>
      </w:r>
    </w:p>
    <w:p w14:paraId="54E0EE9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241.以下不能起破除种子休眠作用的生长调节物质是（   ）。</w:t>
      </w:r>
    </w:p>
    <w:p w14:paraId="68F468D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A.赤霉素</w:t>
      </w:r>
    </w:p>
    <w:p w14:paraId="45D9C57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B.细胞分裂素</w:t>
      </w:r>
    </w:p>
    <w:p w14:paraId="187DC1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C.乙烯</w:t>
      </w:r>
    </w:p>
    <w:p w14:paraId="5C16F8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D.生长素</w:t>
      </w:r>
    </w:p>
    <w:p w14:paraId="15AF7C2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242.种子安全贮藏最适条件是（   ）</w:t>
      </w:r>
    </w:p>
    <w:p w14:paraId="1705917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A.低温</w:t>
      </w:r>
    </w:p>
    <w:p w14:paraId="3811D42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B.干燥</w:t>
      </w:r>
    </w:p>
    <w:p w14:paraId="15CDF86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C.低温和干燥</w:t>
      </w:r>
    </w:p>
    <w:p w14:paraId="11E46B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D.低温和避光</w:t>
      </w:r>
    </w:p>
    <w:p w14:paraId="6330D0C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243.在无土栽培中，基质的物理性质不包括（   ）。</w:t>
      </w:r>
    </w:p>
    <w:p w14:paraId="23E72DA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A.容重</w:t>
      </w:r>
    </w:p>
    <w:p w14:paraId="68745AF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B.总孔隙度</w:t>
      </w:r>
    </w:p>
    <w:p w14:paraId="2D1FE54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C.持水量</w:t>
      </w:r>
    </w:p>
    <w:p w14:paraId="31EC3CC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D.电导率</w:t>
      </w:r>
    </w:p>
    <w:p w14:paraId="51E9C8A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244.在固体基质栽培中，常常每隔一段时间用（   ）来滴入或灌入基质中，以消除基质中养分累积的危害。</w:t>
      </w:r>
    </w:p>
    <w:p w14:paraId="6C17723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A.工作营养液</w:t>
      </w:r>
    </w:p>
    <w:p w14:paraId="7AD0166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B.稀营养液</w:t>
      </w:r>
    </w:p>
    <w:p w14:paraId="1F275B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C.母液</w:t>
      </w:r>
    </w:p>
    <w:p w14:paraId="6BFAB6D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D.清水</w:t>
      </w:r>
    </w:p>
    <w:p w14:paraId="6718363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245.管理上规定营养液的浓度降低至（   ）个剂量时要补充养分至浓度为1个剂量。</w:t>
      </w:r>
    </w:p>
    <w:p w14:paraId="001F478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A.0.1</w:t>
      </w:r>
    </w:p>
    <w:p w14:paraId="66E833A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B.0.3</w:t>
      </w:r>
    </w:p>
    <w:p w14:paraId="02434B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C.0.5</w:t>
      </w:r>
    </w:p>
    <w:p w14:paraId="78E1A4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D.0.8</w:t>
      </w:r>
    </w:p>
    <w:p w14:paraId="49E0966F">
      <w:pPr>
        <w:spacing w:line="360" w:lineRule="auto"/>
        <w:rPr>
          <w:rFonts w:ascii="仿宋" w:hAnsi="仿宋" w:eastAsia="仿宋"/>
          <w:sz w:val="28"/>
          <w:szCs w:val="28"/>
        </w:rPr>
      </w:pPr>
      <w:r>
        <w:rPr>
          <w:rFonts w:hint="eastAsia" w:ascii="仿宋_GB2312" w:eastAsia="仿宋_GB2312" w:cs="仿宋"/>
          <w:kern w:val="0"/>
          <w:sz w:val="28"/>
          <w:szCs w:val="28"/>
        </w:rPr>
        <w:t>246.</w:t>
      </w:r>
      <w:r>
        <w:rPr>
          <w:rFonts w:hint="eastAsia" w:ascii="仿宋" w:hAnsi="仿宋" w:eastAsia="仿宋"/>
          <w:sz w:val="28"/>
          <w:szCs w:val="28"/>
        </w:rPr>
        <w:t>“十八学士”是茶花中的一个珍品，因其相邻两角花瓣排列18轮左右而得名。现在一株只开红花的“十八学士”上嫁接一枝开黄花的“十八学士”枝条，则这株“十八学士”会开出什么颜色的花（   ）。</w:t>
      </w:r>
    </w:p>
    <w:p w14:paraId="1997D26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A.红色</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 xml:space="preserve"> </w:t>
      </w:r>
    </w:p>
    <w:p w14:paraId="70272A8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B.黄色</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 xml:space="preserve"> </w:t>
      </w:r>
    </w:p>
    <w:p w14:paraId="3FBAC64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C.红色和黄色</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 xml:space="preserve"> </w:t>
      </w:r>
    </w:p>
    <w:p w14:paraId="58EB663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D.橙色</w:t>
      </w:r>
    </w:p>
    <w:p w14:paraId="5344E65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247.子叶出土幼苗，是由于（   ）的结果。</w:t>
      </w:r>
    </w:p>
    <w:p w14:paraId="4FA229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A.胚芽伸长</w:t>
      </w:r>
    </w:p>
    <w:p w14:paraId="6E6745B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B.胚根伸长</w:t>
      </w:r>
    </w:p>
    <w:p w14:paraId="21F41E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C.上胚轴伸长</w:t>
      </w:r>
    </w:p>
    <w:p w14:paraId="2A2B545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D.下胚轴伸长</w:t>
      </w:r>
    </w:p>
    <w:p w14:paraId="23FBB2E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248.种子中最主要的部分是（   ）。</w:t>
      </w:r>
    </w:p>
    <w:p w14:paraId="6CF7D412">
      <w:pPr>
        <w:spacing w:line="360" w:lineRule="auto"/>
        <w:ind w:firstLine="280" w:firstLineChars="100"/>
        <w:rPr>
          <w:rFonts w:ascii="仿宋_GB2312" w:hAnsi="仿宋_GB2312" w:eastAsia="仿宋_GB2312" w:cs="仿宋_GB2312"/>
          <w:sz w:val="28"/>
          <w:szCs w:val="28"/>
        </w:rPr>
      </w:pPr>
      <w:r>
        <w:rPr>
          <w:rFonts w:hint="eastAsia" w:ascii="仿宋_GB2312" w:eastAsia="仿宋_GB2312" w:cs="仿宋"/>
          <w:kern w:val="0"/>
          <w:sz w:val="28"/>
          <w:szCs w:val="28"/>
        </w:rPr>
        <w:t>A</w:t>
      </w:r>
      <w:r>
        <w:rPr>
          <w:rFonts w:hint="eastAsia" w:ascii="仿宋_GB2312" w:hAnsi="仿宋_GB2312" w:eastAsia="仿宋_GB2312" w:cs="仿宋_GB2312"/>
          <w:sz w:val="28"/>
          <w:szCs w:val="28"/>
        </w:rPr>
        <w:t>.胚</w:t>
      </w:r>
    </w:p>
    <w:p w14:paraId="4A30C39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B.胚乳</w:t>
      </w:r>
    </w:p>
    <w:p w14:paraId="09E451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C.种皮</w:t>
      </w:r>
    </w:p>
    <w:p w14:paraId="0F8A1F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D.子叶</w:t>
      </w:r>
    </w:p>
    <w:p w14:paraId="1E2A5AA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249.下列（   ）植物的种子一般具有胚乳。</w:t>
      </w:r>
    </w:p>
    <w:p w14:paraId="27E2F04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A.葫芦科</w:t>
      </w:r>
    </w:p>
    <w:p w14:paraId="33666EB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B.茄科</w:t>
      </w:r>
    </w:p>
    <w:p w14:paraId="2C8515D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C.禾本科</w:t>
      </w:r>
    </w:p>
    <w:p w14:paraId="05B87A9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D.豆科</w:t>
      </w:r>
    </w:p>
    <w:p w14:paraId="1749EC6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250.植物体内钾主要以（   ）形态存在。</w:t>
      </w:r>
    </w:p>
    <w:p w14:paraId="630B10A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A.有机态</w:t>
      </w:r>
    </w:p>
    <w:p w14:paraId="08B5D8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B.闭蓄态</w:t>
      </w:r>
    </w:p>
    <w:p w14:paraId="7DFAD37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C.离子态</w:t>
      </w:r>
    </w:p>
    <w:p w14:paraId="52C40B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D.交换态</w:t>
      </w:r>
    </w:p>
    <w:p w14:paraId="0CCA858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251.在一定温度下催芽，当种子有(   )左右“露白”时停止催芽，等待播种。</w:t>
      </w:r>
    </w:p>
    <w:p w14:paraId="53BF8B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A.25%</w:t>
      </w:r>
    </w:p>
    <w:p w14:paraId="3969DFC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B.35%</w:t>
      </w:r>
    </w:p>
    <w:p w14:paraId="63D84C6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C.66%</w:t>
      </w:r>
    </w:p>
    <w:p w14:paraId="4AB9205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D.95%</w:t>
      </w:r>
    </w:p>
    <w:p w14:paraId="22BD444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252.瓠瓜种子在28～30℃温度下催芽，时间大约为（  ）小时左右。</w:t>
      </w:r>
    </w:p>
    <w:p w14:paraId="18E7069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A.12h</w:t>
      </w:r>
    </w:p>
    <w:p w14:paraId="47DA44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B.16h</w:t>
      </w:r>
    </w:p>
    <w:p w14:paraId="7DA24C2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C.24h</w:t>
      </w:r>
    </w:p>
    <w:p w14:paraId="4E11DF6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D.36h</w:t>
      </w:r>
    </w:p>
    <w:p w14:paraId="17C8F5F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253.利用普通仓库保存蔬菜种子一般只能保存（   ）。</w:t>
      </w:r>
    </w:p>
    <w:p w14:paraId="07AD73C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 年左右</w:t>
      </w:r>
    </w:p>
    <w:p w14:paraId="496814D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B.4～5 年</w:t>
      </w:r>
    </w:p>
    <w:p w14:paraId="546F2F8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C.7～8 年</w:t>
      </w:r>
    </w:p>
    <w:p w14:paraId="7536F6A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D.长期保存</w:t>
      </w:r>
    </w:p>
    <w:p w14:paraId="23516F66">
      <w:pPr>
        <w:spacing w:line="360" w:lineRule="auto"/>
        <w:rPr>
          <w:rFonts w:ascii="仿宋" w:hAnsi="仿宋" w:eastAsia="仿宋"/>
          <w:sz w:val="28"/>
          <w:szCs w:val="28"/>
        </w:rPr>
      </w:pPr>
      <w:r>
        <w:rPr>
          <w:rFonts w:hint="eastAsia" w:ascii="仿宋_GB2312" w:eastAsia="仿宋_GB2312" w:cs="仿宋"/>
          <w:kern w:val="0"/>
          <w:sz w:val="28"/>
          <w:szCs w:val="28"/>
        </w:rPr>
        <w:t>254.</w:t>
      </w:r>
      <w:r>
        <w:rPr>
          <w:rFonts w:hint="eastAsia" w:ascii="仿宋" w:hAnsi="仿宋" w:eastAsia="仿宋"/>
          <w:sz w:val="28"/>
          <w:szCs w:val="28"/>
        </w:rPr>
        <w:t>插皮接又叫皮下接，是在砧木芽萌动离皮的情况下进行，在砧木断面皮层与木质部之间插入接穗，生产上如榆树的嫁接。改进插皮接法则只用于（   ）的嫁接。</w:t>
      </w:r>
    </w:p>
    <w:p w14:paraId="1CD3712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A.榆树</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21B8EB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B.板栗</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35DE750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C.柿</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7569550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D.核桃</w:t>
      </w:r>
    </w:p>
    <w:p w14:paraId="013273E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255.蔬菜种子密闭干藏期间种子的安全含水量应控制在(   )左右。</w:t>
      </w:r>
    </w:p>
    <w:p w14:paraId="7F31E37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A.0%～3%</w:t>
      </w:r>
    </w:p>
    <w:p w14:paraId="7ADC1A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B.7%～10%</w:t>
      </w:r>
    </w:p>
    <w:p w14:paraId="77AC30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C.30%～33%</w:t>
      </w:r>
    </w:p>
    <w:p w14:paraId="3137842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D.40%～43%</w:t>
      </w:r>
    </w:p>
    <w:p w14:paraId="52477F4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256.适用于蔬菜种质资源长期保存的是（   ）。</w:t>
      </w:r>
    </w:p>
    <w:p w14:paraId="05EA2CA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A.普通仓库</w:t>
      </w:r>
    </w:p>
    <w:p w14:paraId="5BA42B7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B.高温高湿仓库</w:t>
      </w:r>
    </w:p>
    <w:p w14:paraId="122E6E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C.低温干燥仓库</w:t>
      </w:r>
    </w:p>
    <w:p w14:paraId="39EBC9B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D.高温低湿仓库</w:t>
      </w:r>
    </w:p>
    <w:p w14:paraId="742C3D9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257.采用温汤浸种方法处理蔬菜种子时，水温为50～55℃，处理时间最少应该控制在（   ）分钟。</w:t>
      </w:r>
    </w:p>
    <w:p w14:paraId="27FFA79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A.1～5</w:t>
      </w:r>
    </w:p>
    <w:p w14:paraId="59BCED8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B.10～15</w:t>
      </w:r>
    </w:p>
    <w:p w14:paraId="3EDDE7D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C.25～30</w:t>
      </w:r>
    </w:p>
    <w:p w14:paraId="09F9BBD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D.35～40</w:t>
      </w:r>
    </w:p>
    <w:p w14:paraId="5BBCA94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258.下列蔬菜清洗后更易腐烂、更不耐贮藏的蔬菜是（   ）。</w:t>
      </w:r>
    </w:p>
    <w:p w14:paraId="61AA75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A.茄子</w:t>
      </w:r>
    </w:p>
    <w:p w14:paraId="434B44F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B.黄瓜</w:t>
      </w:r>
    </w:p>
    <w:p w14:paraId="3D09B80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C.马铃薯</w:t>
      </w:r>
    </w:p>
    <w:p w14:paraId="737B38E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D.番茄</w:t>
      </w:r>
    </w:p>
    <w:p w14:paraId="2D33410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259.导致幼苗沤根的是(   )。</w:t>
      </w:r>
    </w:p>
    <w:p w14:paraId="7C1BA00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A.真菌病害</w:t>
      </w:r>
    </w:p>
    <w:p w14:paraId="1756C12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B.细菌病害</w:t>
      </w:r>
    </w:p>
    <w:p w14:paraId="428FF24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C.生理性病害</w:t>
      </w:r>
    </w:p>
    <w:p w14:paraId="613B52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D.病毒病害</w:t>
      </w:r>
    </w:p>
    <w:p w14:paraId="0D63E10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260.下列黄瓜病害中主要为害幼苗的是(   )。</w:t>
      </w:r>
    </w:p>
    <w:p w14:paraId="34C946C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A.黄瓜霜霉病</w:t>
      </w:r>
    </w:p>
    <w:p w14:paraId="79B09FC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B.黄瓜白粉病</w:t>
      </w:r>
    </w:p>
    <w:p w14:paraId="0B54CEE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C.黄瓜灰霉病</w:t>
      </w:r>
    </w:p>
    <w:p w14:paraId="023277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D.黄瓜褐斑病</w:t>
      </w:r>
    </w:p>
    <w:p w14:paraId="073D277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261.常用的育苗基质消毒方法不包括（  ）。</w:t>
      </w:r>
    </w:p>
    <w:p w14:paraId="4F7F386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A.蒸汽消毒</w:t>
      </w:r>
    </w:p>
    <w:p w14:paraId="56E8CA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B.化学药品消毒</w:t>
      </w:r>
    </w:p>
    <w:p w14:paraId="456A71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C.太阳能消毒</w:t>
      </w:r>
    </w:p>
    <w:p w14:paraId="1C94E19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D.电加热消毒</w:t>
      </w:r>
    </w:p>
    <w:p w14:paraId="38D53B4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262.下列选项中属于惰性基质的是（   ）。</w:t>
      </w:r>
    </w:p>
    <w:p w14:paraId="478C509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A.岩棉</w:t>
      </w:r>
    </w:p>
    <w:p w14:paraId="422956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B.棉籽壳</w:t>
      </w:r>
    </w:p>
    <w:p w14:paraId="2E95B2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C.泥炭</w:t>
      </w:r>
    </w:p>
    <w:p w14:paraId="121E9A8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D.芦苇沫</w:t>
      </w:r>
    </w:p>
    <w:p w14:paraId="6A20818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263.下列选项中属于有机育苗基质的是（   ）。</w:t>
      </w:r>
    </w:p>
    <w:p w14:paraId="7BF2821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A.蛭石</w:t>
      </w:r>
    </w:p>
    <w:p w14:paraId="0BBD2A6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B.珍珠岩</w:t>
      </w:r>
    </w:p>
    <w:p w14:paraId="2D1952E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C.岩棉</w:t>
      </w:r>
    </w:p>
    <w:p w14:paraId="02440B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D.草炭</w:t>
      </w:r>
    </w:p>
    <w:p w14:paraId="1A37C95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264.中国传统习惯上规定的发芽标准是（   ）。</w:t>
      </w:r>
    </w:p>
    <w:p w14:paraId="5652B9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A.胚根长度为种子一半</w:t>
      </w:r>
    </w:p>
    <w:p w14:paraId="2B39CB1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B.胚根长度与种子等长</w:t>
      </w:r>
    </w:p>
    <w:p w14:paraId="6704146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C.胚根长度为种子1/3</w:t>
      </w:r>
    </w:p>
    <w:p w14:paraId="248E7C1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D.胚根长度为种子1/4</w:t>
      </w:r>
    </w:p>
    <w:p w14:paraId="2768B9F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265.种子活力与种子劣变的关系是（   ）。</w:t>
      </w:r>
    </w:p>
    <w:p w14:paraId="546706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A.活力高劣变程度高</w:t>
      </w:r>
    </w:p>
    <w:p w14:paraId="5A4FB28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B.活力低劣变程度低</w:t>
      </w:r>
    </w:p>
    <w:p w14:paraId="067E830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C.活力低劣变中等</w:t>
      </w:r>
    </w:p>
    <w:p w14:paraId="136681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D.活力高劣变程度低</w:t>
      </w:r>
    </w:p>
    <w:p w14:paraId="62688DA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266.营养液配方中常使用（   ）氮肥，所造成的不良影响较易克服。</w:t>
      </w:r>
    </w:p>
    <w:p w14:paraId="6DD6490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A.铵态氮</w:t>
      </w:r>
    </w:p>
    <w:p w14:paraId="52C7CB1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B.硝态氮</w:t>
      </w:r>
    </w:p>
    <w:p w14:paraId="11E348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C.酰胺态氮</w:t>
      </w:r>
    </w:p>
    <w:p w14:paraId="726966D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D.尿素</w:t>
      </w:r>
    </w:p>
    <w:p w14:paraId="0693D5A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267.靠接苗成活后的管理工作主要不包括（   ）</w:t>
      </w:r>
    </w:p>
    <w:p w14:paraId="6D30996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A.断根</w:t>
      </w:r>
    </w:p>
    <w:p w14:paraId="14B1CCB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B.打老叶</w:t>
      </w:r>
    </w:p>
    <w:p w14:paraId="7A0B23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C.去萌蘖</w:t>
      </w:r>
    </w:p>
    <w:p w14:paraId="486F46D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D.去嫁接夹</w:t>
      </w:r>
    </w:p>
    <w:p w14:paraId="3EA35B2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268.实践证明能促进种子发芽的光线是（   ）。</w:t>
      </w:r>
    </w:p>
    <w:p w14:paraId="60922E6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A.红光</w:t>
      </w:r>
    </w:p>
    <w:p w14:paraId="220E06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B.蓝光</w:t>
      </w:r>
    </w:p>
    <w:p w14:paraId="5874C7B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C.远红光</w:t>
      </w:r>
    </w:p>
    <w:p w14:paraId="6C447AE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D.紫光</w:t>
      </w:r>
    </w:p>
    <w:p w14:paraId="2BA458F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269.无土栽培用水的硬度一般应为（   ）度以下。</w:t>
      </w:r>
    </w:p>
    <w:p w14:paraId="644E318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A.10</w:t>
      </w:r>
    </w:p>
    <w:p w14:paraId="7764BF2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B.15</w:t>
      </w:r>
    </w:p>
    <w:p w14:paraId="6B86F3D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C.20</w:t>
      </w:r>
    </w:p>
    <w:p w14:paraId="55629EB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D.25</w:t>
      </w:r>
    </w:p>
    <w:p w14:paraId="0C5D569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270.使用C/N 比高的基质，容易使植物发生缺（   ）。</w:t>
      </w:r>
    </w:p>
    <w:p w14:paraId="59B1AD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A.氮</w:t>
      </w:r>
    </w:p>
    <w:p w14:paraId="7B99311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B.磷</w:t>
      </w:r>
    </w:p>
    <w:p w14:paraId="1C5E154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C.钾</w:t>
      </w:r>
    </w:p>
    <w:p w14:paraId="1E4136D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D.钙</w:t>
      </w:r>
    </w:p>
    <w:p w14:paraId="0011443A">
      <w:pPr>
        <w:rPr>
          <w:rFonts w:ascii="仿宋_GB2312" w:eastAsia="仿宋_GB2312"/>
          <w:sz w:val="28"/>
          <w:szCs w:val="28"/>
        </w:rPr>
      </w:pPr>
      <w:r>
        <w:rPr>
          <w:rFonts w:hint="eastAsia" w:ascii="仿宋_GB2312" w:eastAsia="仿宋_GB2312"/>
          <w:sz w:val="28"/>
          <w:szCs w:val="28"/>
        </w:rPr>
        <w:t>271.芹菜假植方法，正确的是（    ）。</w:t>
      </w:r>
    </w:p>
    <w:p w14:paraId="28159E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A.不去除黄叶、老叶柄和烂叶 </w:t>
      </w:r>
    </w:p>
    <w:p w14:paraId="634FCE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B.贮存2个月左右上市 </w:t>
      </w:r>
    </w:p>
    <w:p w14:paraId="6EAB48E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C.用土覆盖 </w:t>
      </w:r>
    </w:p>
    <w:p w14:paraId="106CC20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D.在棚内挖深25～30cm、宽1.5 m、长度不限的浅沟 </w:t>
      </w:r>
    </w:p>
    <w:p w14:paraId="2685E0A0">
      <w:pPr>
        <w:rPr>
          <w:rFonts w:ascii="仿宋_GB2312" w:eastAsia="仿宋_GB2312"/>
          <w:sz w:val="28"/>
          <w:szCs w:val="28"/>
        </w:rPr>
      </w:pPr>
      <w:r>
        <w:rPr>
          <w:rFonts w:hint="eastAsia" w:ascii="仿宋_GB2312" w:eastAsia="仿宋_GB2312"/>
          <w:sz w:val="28"/>
          <w:szCs w:val="28"/>
        </w:rPr>
        <w:t>272.下列不是植株调整措施的是（   ）。 </w:t>
      </w:r>
    </w:p>
    <w:p w14:paraId="39BC393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A.绑蔓 </w:t>
      </w:r>
    </w:p>
    <w:p w14:paraId="0936F1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B.搭架 </w:t>
      </w:r>
    </w:p>
    <w:p w14:paraId="0EE9F4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C.摘叶 </w:t>
      </w:r>
    </w:p>
    <w:p w14:paraId="4066B4A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D.灌溉   </w:t>
      </w:r>
    </w:p>
    <w:p w14:paraId="477858B2">
      <w:pPr>
        <w:rPr>
          <w:rFonts w:ascii="仿宋_GB2312" w:eastAsia="仿宋_GB2312"/>
          <w:sz w:val="28"/>
          <w:szCs w:val="28"/>
        </w:rPr>
      </w:pPr>
      <w:r>
        <w:rPr>
          <w:rFonts w:hint="eastAsia" w:ascii="仿宋_GB2312" w:eastAsia="仿宋_GB2312"/>
          <w:sz w:val="28"/>
          <w:szCs w:val="28"/>
        </w:rPr>
        <w:t>273.小菜蛾类属于鳞翅目菜蛾科小型害虫，其危害虫态是（   ）。</w:t>
      </w:r>
    </w:p>
    <w:p w14:paraId="46C707B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A.成虫         </w:t>
      </w:r>
    </w:p>
    <w:p w14:paraId="7CD788A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B.幼虫       </w:t>
      </w:r>
    </w:p>
    <w:p w14:paraId="49AD7CA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C.卵</w:t>
      </w:r>
    </w:p>
    <w:p w14:paraId="79407576">
      <w:pPr>
        <w:spacing w:line="360" w:lineRule="auto"/>
        <w:ind w:firstLine="280" w:firstLineChars="100"/>
        <w:rPr>
          <w:rFonts w:ascii="仿宋_GB2312" w:eastAsia="仿宋_GB2312"/>
          <w:sz w:val="28"/>
          <w:szCs w:val="28"/>
        </w:rPr>
      </w:pPr>
      <w:r>
        <w:rPr>
          <w:rFonts w:hint="eastAsia" w:ascii="仿宋_GB2312" w:hAnsi="仿宋_GB2312" w:eastAsia="仿宋_GB2312" w:cs="仿宋_GB2312"/>
          <w:sz w:val="28"/>
          <w:szCs w:val="28"/>
        </w:rPr>
        <w:t xml:space="preserve">D.蛹      </w:t>
      </w:r>
      <w:r>
        <w:rPr>
          <w:rFonts w:hint="eastAsia" w:ascii="仿宋_GB2312" w:eastAsia="仿宋_GB2312"/>
          <w:sz w:val="28"/>
          <w:szCs w:val="28"/>
        </w:rPr>
        <w:t xml:space="preserve">  </w:t>
      </w:r>
    </w:p>
    <w:p w14:paraId="2229E4D7">
      <w:pPr>
        <w:rPr>
          <w:rFonts w:ascii="仿宋_GB2312" w:eastAsia="仿宋_GB2312"/>
          <w:sz w:val="28"/>
          <w:szCs w:val="28"/>
        </w:rPr>
      </w:pPr>
      <w:r>
        <w:rPr>
          <w:rFonts w:hint="eastAsia" w:ascii="仿宋_GB2312" w:eastAsia="仿宋_GB2312"/>
          <w:sz w:val="28"/>
          <w:szCs w:val="28"/>
        </w:rPr>
        <w:t>274.（   ）的产生，主要是因在同一地区，多年连续使用同一种农药防治该种病虫害而造成的。</w:t>
      </w:r>
    </w:p>
    <w:p w14:paraId="1E0D3B0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A.繁殖性      </w:t>
      </w:r>
    </w:p>
    <w:p w14:paraId="6B728A0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B.免疫力 </w:t>
      </w:r>
    </w:p>
    <w:p w14:paraId="7469770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C.抗药性 </w:t>
      </w:r>
    </w:p>
    <w:p w14:paraId="593271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D.变化性  </w:t>
      </w:r>
    </w:p>
    <w:p w14:paraId="273DA53D">
      <w:pPr>
        <w:rPr>
          <w:rFonts w:ascii="仿宋_GB2312" w:eastAsia="仿宋_GB2312"/>
          <w:sz w:val="28"/>
          <w:szCs w:val="28"/>
        </w:rPr>
      </w:pPr>
      <w:r>
        <w:rPr>
          <w:rFonts w:hint="eastAsia" w:ascii="仿宋_GB2312" w:eastAsia="仿宋_GB2312"/>
          <w:sz w:val="28"/>
          <w:szCs w:val="28"/>
        </w:rPr>
        <w:t>275.以下关于蒜种播种时摆放说法错误的是（   ）。</w:t>
      </w:r>
    </w:p>
    <w:p w14:paraId="2CEC4C9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A.整头摆放整齐，不留缝隙 </w:t>
      </w:r>
    </w:p>
    <w:p w14:paraId="1991D16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B.按大、中、小三类分瓣栽 </w:t>
      </w:r>
    </w:p>
    <w:p w14:paraId="73D0EBA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C.保持上齐、下不齐、下部基本找齐 </w:t>
      </w:r>
    </w:p>
    <w:p w14:paraId="3DD38C3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D.随意摆放于沟内 </w:t>
      </w:r>
    </w:p>
    <w:p w14:paraId="299F8904">
      <w:pPr>
        <w:rPr>
          <w:rFonts w:ascii="仿宋_GB2312" w:eastAsia="仿宋_GB2312"/>
          <w:sz w:val="28"/>
          <w:szCs w:val="28"/>
        </w:rPr>
      </w:pPr>
      <w:r>
        <w:rPr>
          <w:rFonts w:hint="eastAsia" w:ascii="仿宋_GB2312" w:eastAsia="仿宋_GB2312"/>
          <w:sz w:val="28"/>
          <w:szCs w:val="28"/>
        </w:rPr>
        <w:t>276.砂土是指土壤颗粒组成中砂粒含量较高的土壤，（  ）的基本类别之一。</w:t>
      </w:r>
    </w:p>
    <w:p w14:paraId="4E937D3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A.土壤级别 </w:t>
      </w:r>
    </w:p>
    <w:p w14:paraId="372C4D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B.土壤组成 </w:t>
      </w:r>
    </w:p>
    <w:p w14:paraId="3A6807C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C.土壤质地 </w:t>
      </w:r>
    </w:p>
    <w:p w14:paraId="66A02BD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D.土壤结构 </w:t>
      </w:r>
    </w:p>
    <w:p w14:paraId="29BF0828">
      <w:pPr>
        <w:rPr>
          <w:rFonts w:ascii="仿宋_GB2312" w:eastAsia="仿宋_GB2312"/>
          <w:sz w:val="28"/>
          <w:szCs w:val="28"/>
        </w:rPr>
      </w:pPr>
      <w:r>
        <w:rPr>
          <w:rFonts w:hint="eastAsia" w:ascii="仿宋_GB2312" w:eastAsia="仿宋_GB2312"/>
          <w:sz w:val="28"/>
          <w:szCs w:val="28"/>
        </w:rPr>
        <w:t>277.除（  ）外，其他瓜类蔬菜均具有发达的根系。</w:t>
      </w:r>
    </w:p>
    <w:p w14:paraId="4D08078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A.南瓜 </w:t>
      </w:r>
    </w:p>
    <w:p w14:paraId="3F71DCA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B.黄瓜 </w:t>
      </w:r>
    </w:p>
    <w:p w14:paraId="0CE753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C.丝瓜 </w:t>
      </w:r>
    </w:p>
    <w:p w14:paraId="3FF9D02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D.苦瓜 </w:t>
      </w:r>
    </w:p>
    <w:p w14:paraId="528A4922">
      <w:pPr>
        <w:rPr>
          <w:rFonts w:ascii="仿宋_GB2312" w:eastAsia="仿宋_GB2312"/>
          <w:sz w:val="28"/>
          <w:szCs w:val="28"/>
        </w:rPr>
      </w:pPr>
      <w:r>
        <w:rPr>
          <w:rFonts w:hint="eastAsia" w:ascii="仿宋_GB2312" w:eastAsia="仿宋_GB2312"/>
          <w:sz w:val="28"/>
          <w:szCs w:val="28"/>
        </w:rPr>
        <w:t>278.番茄晚疫病属（  ）病害，防治方法以农业防治为主。</w:t>
      </w:r>
    </w:p>
    <w:p w14:paraId="1999565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A.真菌性 </w:t>
      </w:r>
    </w:p>
    <w:p w14:paraId="5BC0E34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B.病毒性</w:t>
      </w:r>
    </w:p>
    <w:p w14:paraId="4322F5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C.细菌性 </w:t>
      </w:r>
    </w:p>
    <w:p w14:paraId="48CDFD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D.以上都不是   </w:t>
      </w:r>
    </w:p>
    <w:p w14:paraId="47A85CAC">
      <w:pPr>
        <w:spacing w:line="360" w:lineRule="auto"/>
        <w:rPr>
          <w:rFonts w:ascii="仿宋" w:hAnsi="仿宋" w:eastAsia="仿宋"/>
          <w:sz w:val="28"/>
          <w:szCs w:val="28"/>
        </w:rPr>
      </w:pPr>
      <w:r>
        <w:rPr>
          <w:rFonts w:hint="eastAsia" w:ascii="仿宋_GB2312" w:eastAsia="仿宋_GB2312"/>
          <w:sz w:val="28"/>
          <w:szCs w:val="28"/>
        </w:rPr>
        <w:t>279.</w:t>
      </w:r>
      <w:r>
        <w:rPr>
          <w:rFonts w:hint="eastAsia" w:ascii="仿宋" w:hAnsi="仿宋" w:eastAsia="仿宋"/>
          <w:sz w:val="28"/>
          <w:szCs w:val="28"/>
        </w:rPr>
        <w:t>将基因组成是Aa的密桃枝条嫁接到基因组成为aa的密桃砧木上，所结密桃果肉细胞的基因组成为Aa的概率是（  ）。</w:t>
      </w:r>
    </w:p>
    <w:p w14:paraId="4E4F548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A.25% </w:t>
      </w:r>
      <w:r>
        <w:rPr>
          <w:rFonts w:hint="eastAsia" w:ascii="仿宋_GB2312" w:hAnsi="仿宋_GB2312" w:eastAsia="仿宋_GB2312" w:cs="仿宋_GB2312"/>
          <w:sz w:val="28"/>
          <w:szCs w:val="28"/>
        </w:rPr>
        <w:tab/>
      </w:r>
    </w:p>
    <w:p w14:paraId="68917E5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B.50% </w:t>
      </w:r>
      <w:r>
        <w:rPr>
          <w:rFonts w:hint="eastAsia" w:ascii="仿宋_GB2312" w:hAnsi="仿宋_GB2312" w:eastAsia="仿宋_GB2312" w:cs="仿宋_GB2312"/>
          <w:sz w:val="28"/>
          <w:szCs w:val="28"/>
        </w:rPr>
        <w:tab/>
      </w:r>
    </w:p>
    <w:p w14:paraId="43D61FF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C.75% </w:t>
      </w:r>
      <w:r>
        <w:rPr>
          <w:rFonts w:hint="eastAsia" w:ascii="仿宋_GB2312" w:hAnsi="仿宋_GB2312" w:eastAsia="仿宋_GB2312" w:cs="仿宋_GB2312"/>
          <w:sz w:val="28"/>
          <w:szCs w:val="28"/>
        </w:rPr>
        <w:tab/>
      </w:r>
    </w:p>
    <w:p w14:paraId="7BA1EF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D.100%</w:t>
      </w:r>
    </w:p>
    <w:p w14:paraId="29CDCDBC">
      <w:pPr>
        <w:rPr>
          <w:rFonts w:ascii="仿宋_GB2312" w:eastAsia="仿宋_GB2312"/>
          <w:sz w:val="28"/>
          <w:szCs w:val="28"/>
        </w:rPr>
      </w:pPr>
      <w:r>
        <w:rPr>
          <w:rFonts w:hint="eastAsia" w:ascii="仿宋_GB2312" w:eastAsia="仿宋_GB2312"/>
          <w:sz w:val="28"/>
          <w:szCs w:val="28"/>
        </w:rPr>
        <w:t xml:space="preserve">280.番茄的分枝方式是（   ）。 </w:t>
      </w:r>
    </w:p>
    <w:p w14:paraId="20F7DC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A.二杈分枝 </w:t>
      </w:r>
    </w:p>
    <w:p w14:paraId="6DEFF2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B.假轴分枝</w:t>
      </w:r>
    </w:p>
    <w:p w14:paraId="1C3A16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C.单杆分枝</w:t>
      </w:r>
    </w:p>
    <w:p w14:paraId="6D9F05D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D.三杈分枝   </w:t>
      </w:r>
    </w:p>
    <w:p w14:paraId="22707207">
      <w:pPr>
        <w:rPr>
          <w:rFonts w:ascii="仿宋_GB2312" w:eastAsia="仿宋_GB2312"/>
          <w:sz w:val="28"/>
          <w:szCs w:val="28"/>
        </w:rPr>
      </w:pPr>
      <w:r>
        <w:rPr>
          <w:rFonts w:hint="eastAsia" w:ascii="仿宋_GB2312" w:eastAsia="仿宋_GB2312"/>
          <w:sz w:val="28"/>
          <w:szCs w:val="28"/>
        </w:rPr>
        <w:t>281.莴笋的适宜收获期是（   ）。</w:t>
      </w:r>
    </w:p>
    <w:p w14:paraId="75F5384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A.莴笋主茎的顶端与最低叶片的叶尖处于同一高度时 </w:t>
      </w:r>
    </w:p>
    <w:p w14:paraId="7E70F4F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B.莴笋主茎的顶端与最高叶片的叶尖处于同一高度时 </w:t>
      </w:r>
    </w:p>
    <w:p w14:paraId="5B0780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C.莴笋主茎的顶端高于最高叶片的叶尖处时 </w:t>
      </w:r>
    </w:p>
    <w:p w14:paraId="717D939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D.莴笋主茎的顶端低于最高叶片的叶尖处时 </w:t>
      </w:r>
    </w:p>
    <w:p w14:paraId="5D60AC62">
      <w:pPr>
        <w:rPr>
          <w:rFonts w:ascii="仿宋_GB2312" w:eastAsia="仿宋_GB2312"/>
          <w:sz w:val="28"/>
          <w:szCs w:val="28"/>
        </w:rPr>
      </w:pPr>
      <w:r>
        <w:rPr>
          <w:rFonts w:hint="eastAsia" w:ascii="仿宋_GB2312" w:eastAsia="仿宋_GB2312"/>
          <w:sz w:val="28"/>
          <w:szCs w:val="28"/>
        </w:rPr>
        <w:t>282.在前作蔬菜的生长发育后期，在其行间或株间种植后作蔬菜，前、后两作共同生长的时间较短，称为（   ）。</w:t>
      </w:r>
    </w:p>
    <w:p w14:paraId="7A6833E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A.连作 </w:t>
      </w:r>
    </w:p>
    <w:p w14:paraId="4B3DC61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B.混作 </w:t>
      </w:r>
    </w:p>
    <w:p w14:paraId="5C17903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C.套作 </w:t>
      </w:r>
    </w:p>
    <w:p w14:paraId="4C8EFA6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D.轮作 </w:t>
      </w:r>
    </w:p>
    <w:p w14:paraId="7641192D">
      <w:pPr>
        <w:rPr>
          <w:rFonts w:ascii="仿宋_GB2312" w:eastAsia="仿宋_GB2312"/>
          <w:sz w:val="28"/>
          <w:szCs w:val="28"/>
        </w:rPr>
      </w:pPr>
      <w:r>
        <w:rPr>
          <w:rFonts w:hint="eastAsia" w:ascii="仿宋_GB2312" w:eastAsia="仿宋_GB2312"/>
          <w:sz w:val="28"/>
          <w:szCs w:val="28"/>
        </w:rPr>
        <w:t xml:space="preserve">283.菜豆植株主蔓长约30～50cm时开始引蔓上架，引蔓上架宜在（   ）进行。 </w:t>
      </w:r>
    </w:p>
    <w:p w14:paraId="3CA6FC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A.阴天 </w:t>
      </w:r>
    </w:p>
    <w:p w14:paraId="5ADCB91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B.雨后 </w:t>
      </w:r>
    </w:p>
    <w:p w14:paraId="7D89F1C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C.早上 </w:t>
      </w:r>
    </w:p>
    <w:p w14:paraId="4D3EC14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D.下午 </w:t>
      </w:r>
    </w:p>
    <w:p w14:paraId="501E1714">
      <w:pPr>
        <w:rPr>
          <w:rFonts w:ascii="仿宋_GB2312" w:eastAsia="仿宋_GB2312"/>
          <w:sz w:val="28"/>
          <w:szCs w:val="28"/>
        </w:rPr>
      </w:pPr>
      <w:r>
        <w:rPr>
          <w:rFonts w:hint="eastAsia" w:ascii="仿宋_GB2312" w:eastAsia="仿宋_GB2312"/>
          <w:sz w:val="28"/>
          <w:szCs w:val="28"/>
        </w:rPr>
        <w:t>284.黄花菜采收适宜期为花蕾刚裂嘴前2 小时，最佳采摘时间为上午（   ）时。</w:t>
      </w:r>
    </w:p>
    <w:p w14:paraId="6747003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A.5～6 </w:t>
      </w:r>
    </w:p>
    <w:p w14:paraId="5557FAB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B.7～11 </w:t>
      </w:r>
    </w:p>
    <w:p w14:paraId="6E92556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C.11～13 </w:t>
      </w:r>
    </w:p>
    <w:p w14:paraId="3E379B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D.13～15   </w:t>
      </w:r>
    </w:p>
    <w:p w14:paraId="4A0956E6">
      <w:pPr>
        <w:spacing w:line="360" w:lineRule="auto"/>
        <w:rPr>
          <w:rFonts w:ascii="仿宋" w:hAnsi="仿宋" w:eastAsia="仿宋"/>
          <w:sz w:val="28"/>
          <w:szCs w:val="28"/>
        </w:rPr>
      </w:pPr>
      <w:r>
        <w:rPr>
          <w:rFonts w:hint="eastAsia" w:ascii="仿宋_GB2312" w:eastAsia="仿宋_GB2312"/>
          <w:sz w:val="28"/>
          <w:szCs w:val="28"/>
        </w:rPr>
        <w:t>285.</w:t>
      </w:r>
      <w:r>
        <w:rPr>
          <w:rFonts w:hint="eastAsia" w:ascii="仿宋" w:hAnsi="仿宋" w:eastAsia="仿宋"/>
          <w:sz w:val="28"/>
          <w:szCs w:val="28"/>
        </w:rPr>
        <w:t>在用一般的嫁接方法不易成活时，可考虑采用（   ）。一般在生长季节（6-8月 ）进行。在砧木枝条上削一长3-5厘米的削面，在接穗相对位置作相同的削面，将砧、穗削面贴紧，对齐形成层捆绑即可。</w:t>
      </w:r>
    </w:p>
    <w:p w14:paraId="53DDD67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A.切接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31AE947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B.靠接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1010DC5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C.腹接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76321C1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D.舌接</w:t>
      </w:r>
    </w:p>
    <w:p w14:paraId="48A5F92D">
      <w:pPr>
        <w:rPr>
          <w:rFonts w:ascii="仿宋_GB2312" w:eastAsia="仿宋_GB2312"/>
          <w:sz w:val="28"/>
          <w:szCs w:val="28"/>
        </w:rPr>
      </w:pPr>
      <w:r>
        <w:rPr>
          <w:rFonts w:hint="eastAsia" w:ascii="仿宋_GB2312" w:eastAsia="仿宋_GB2312"/>
          <w:sz w:val="28"/>
          <w:szCs w:val="28"/>
        </w:rPr>
        <w:t>286.现代化温室的（  ）浓度明显低于露地，不能满足蔬菜作物的生长需要。</w:t>
      </w:r>
    </w:p>
    <w:p w14:paraId="4824ADC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A.氧气 </w:t>
      </w:r>
    </w:p>
    <w:p w14:paraId="2871AD6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B.二氧化碳</w:t>
      </w:r>
    </w:p>
    <w:p w14:paraId="1098C5C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C.一氧化碳</w:t>
      </w:r>
    </w:p>
    <w:p w14:paraId="6F4A89E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D.一氧化氮 </w:t>
      </w:r>
    </w:p>
    <w:p w14:paraId="23D06039">
      <w:pPr>
        <w:rPr>
          <w:rFonts w:ascii="仿宋_GB2312" w:eastAsia="仿宋_GB2312"/>
          <w:sz w:val="28"/>
          <w:szCs w:val="28"/>
        </w:rPr>
      </w:pPr>
      <w:r>
        <w:rPr>
          <w:rFonts w:hint="eastAsia" w:ascii="仿宋_GB2312" w:eastAsia="仿宋_GB2312"/>
          <w:sz w:val="28"/>
          <w:szCs w:val="28"/>
        </w:rPr>
        <w:t>287.下列关于单杆整枝的描述，不正确的是（   ）</w:t>
      </w:r>
    </w:p>
    <w:p w14:paraId="2D0962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A.单杆整枝是保留主干，除掉所有的侧枝</w:t>
      </w:r>
    </w:p>
    <w:p w14:paraId="5626594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B.适用于早熟有限生长型品种</w:t>
      </w:r>
    </w:p>
    <w:p w14:paraId="4B7072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C.以集中养分供应主杆果实生长，达到提早上市的目的</w:t>
      </w:r>
    </w:p>
    <w:p w14:paraId="3B1F06E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D.适用于中晚熟无限生长型品种</w:t>
      </w:r>
    </w:p>
    <w:p w14:paraId="7A868302">
      <w:pPr>
        <w:rPr>
          <w:rFonts w:ascii="仿宋_GB2312" w:eastAsia="仿宋_GB2312"/>
          <w:sz w:val="28"/>
          <w:szCs w:val="28"/>
        </w:rPr>
      </w:pPr>
      <w:r>
        <w:rPr>
          <w:rFonts w:hint="eastAsia" w:ascii="仿宋_GB2312" w:eastAsia="仿宋_GB2312"/>
          <w:sz w:val="28"/>
          <w:szCs w:val="28"/>
        </w:rPr>
        <w:t xml:space="preserve">288.菜薹属于白菜亚种中的（   ）。 </w:t>
      </w:r>
    </w:p>
    <w:p w14:paraId="3FDE992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A.菜心变种 </w:t>
      </w:r>
    </w:p>
    <w:p w14:paraId="5BF2E67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B.薹菜变种 </w:t>
      </w:r>
    </w:p>
    <w:p w14:paraId="35F79D8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C.普通白菜变种 </w:t>
      </w:r>
    </w:p>
    <w:p w14:paraId="679C5D4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D.乌塌菜变种 </w:t>
      </w:r>
    </w:p>
    <w:p w14:paraId="6A584B6C">
      <w:pPr>
        <w:rPr>
          <w:rFonts w:ascii="仿宋_GB2312" w:eastAsia="仿宋_GB2312"/>
          <w:sz w:val="28"/>
          <w:szCs w:val="28"/>
        </w:rPr>
      </w:pPr>
      <w:r>
        <w:rPr>
          <w:rFonts w:hint="eastAsia" w:ascii="仿宋_GB2312" w:eastAsia="仿宋_GB2312"/>
          <w:sz w:val="28"/>
          <w:szCs w:val="28"/>
        </w:rPr>
        <w:t xml:space="preserve">289.芜菁的食用部位是（    ）。 </w:t>
      </w:r>
    </w:p>
    <w:p w14:paraId="7D00E29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A.菜心 </w:t>
      </w:r>
    </w:p>
    <w:p w14:paraId="73A4719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B.菜根 </w:t>
      </w:r>
    </w:p>
    <w:p w14:paraId="1B0350E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C.花薹</w:t>
      </w:r>
    </w:p>
    <w:p w14:paraId="05CBB6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D.叶丛 </w:t>
      </w:r>
    </w:p>
    <w:p w14:paraId="02BB55B1">
      <w:pPr>
        <w:rPr>
          <w:rFonts w:ascii="仿宋_GB2312" w:eastAsia="仿宋_GB2312"/>
          <w:sz w:val="28"/>
          <w:szCs w:val="28"/>
        </w:rPr>
      </w:pPr>
      <w:r>
        <w:rPr>
          <w:rFonts w:hint="eastAsia" w:ascii="仿宋_GB2312" w:eastAsia="仿宋_GB2312"/>
          <w:sz w:val="28"/>
          <w:szCs w:val="28"/>
        </w:rPr>
        <w:t>290.以下关于马铃薯设施栽培技术说法错误的是（   ）。</w:t>
      </w:r>
    </w:p>
    <w:p w14:paraId="74050FD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A.马铃薯对肥料三要素的需求量，以氮最多，钾次之，磷最少 </w:t>
      </w:r>
    </w:p>
    <w:p w14:paraId="04EF9DB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B.马铃薯的种植密度一般在3500～4000株/667m2为宜 </w:t>
      </w:r>
    </w:p>
    <w:p w14:paraId="04301CC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C.马铃薯幼苗露土时要及时破膜露苗，防止叶片接触地膜受太阳灼伤 </w:t>
      </w:r>
    </w:p>
    <w:p w14:paraId="2AB02B8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D.食用马铃薯生理成熟期为最适收获期，在晴天和土壤干爽时进行收获   </w:t>
      </w:r>
    </w:p>
    <w:p w14:paraId="01F803D6">
      <w:pPr>
        <w:rPr>
          <w:rFonts w:ascii="仿宋_GB2312" w:eastAsia="仿宋_GB2312"/>
          <w:sz w:val="28"/>
          <w:szCs w:val="28"/>
        </w:rPr>
      </w:pPr>
      <w:r>
        <w:rPr>
          <w:rFonts w:hint="eastAsia" w:ascii="仿宋_GB2312" w:eastAsia="仿宋_GB2312"/>
          <w:sz w:val="28"/>
          <w:szCs w:val="28"/>
        </w:rPr>
        <w:t>291.西瓜种植后，需要（   ）年轮作才能种植。</w:t>
      </w:r>
    </w:p>
    <w:p w14:paraId="1C108F8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A.2 </w:t>
      </w:r>
    </w:p>
    <w:p w14:paraId="507A460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B.6～7 </w:t>
      </w:r>
    </w:p>
    <w:p w14:paraId="5BE510B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C.4</w:t>
      </w:r>
    </w:p>
    <w:p w14:paraId="695B35E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D．5  </w:t>
      </w:r>
    </w:p>
    <w:p w14:paraId="7197B8EA">
      <w:pPr>
        <w:spacing w:line="360" w:lineRule="auto"/>
        <w:rPr>
          <w:rFonts w:ascii="仿宋" w:hAnsi="仿宋" w:eastAsia="仿宋"/>
          <w:sz w:val="28"/>
          <w:szCs w:val="28"/>
        </w:rPr>
      </w:pPr>
      <w:r>
        <w:rPr>
          <w:rFonts w:hint="eastAsia" w:ascii="仿宋_GB2312" w:eastAsia="仿宋_GB2312"/>
          <w:sz w:val="28"/>
          <w:szCs w:val="28"/>
        </w:rPr>
        <w:t>292.</w:t>
      </w:r>
      <w:r>
        <w:rPr>
          <w:rFonts w:hint="eastAsia" w:ascii="仿宋" w:hAnsi="仿宋" w:eastAsia="仿宋"/>
          <w:sz w:val="28"/>
          <w:szCs w:val="28"/>
        </w:rPr>
        <w:t>（  ）常用于葡萄的枝接，一般适宜砧径lcm左右粗，且砧穗粗细大体相同时的嫁接。</w:t>
      </w:r>
    </w:p>
    <w:p w14:paraId="324AA9E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A.切接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3B9832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B.劈接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149AD21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C.腹接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207DDE6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D.舌接</w:t>
      </w:r>
    </w:p>
    <w:p w14:paraId="13BAE42E">
      <w:pPr>
        <w:rPr>
          <w:rFonts w:ascii="仿宋_GB2312" w:eastAsia="仿宋_GB2312"/>
          <w:sz w:val="28"/>
          <w:szCs w:val="28"/>
        </w:rPr>
      </w:pPr>
      <w:r>
        <w:rPr>
          <w:rFonts w:hint="eastAsia" w:ascii="仿宋_GB2312" w:eastAsia="仿宋_GB2312"/>
          <w:sz w:val="28"/>
          <w:szCs w:val="28"/>
        </w:rPr>
        <w:t>293.下面那个蔬菜不属于根菜类（  ）。</w:t>
      </w:r>
    </w:p>
    <w:p w14:paraId="321ACFB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A.萝卜</w:t>
      </w:r>
    </w:p>
    <w:p w14:paraId="5CF7B17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B.胡萝卜</w:t>
      </w:r>
    </w:p>
    <w:p w14:paraId="37F9D5C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C.芜菁</w:t>
      </w:r>
    </w:p>
    <w:p w14:paraId="11000C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D.马铃薯</w:t>
      </w:r>
    </w:p>
    <w:p w14:paraId="23F13A6A">
      <w:pPr>
        <w:rPr>
          <w:rFonts w:ascii="仿宋_GB2312" w:eastAsia="仿宋_GB2312"/>
          <w:sz w:val="28"/>
          <w:szCs w:val="28"/>
        </w:rPr>
      </w:pPr>
      <w:r>
        <w:rPr>
          <w:rFonts w:hint="eastAsia" w:ascii="仿宋_GB2312" w:eastAsia="仿宋_GB2312"/>
          <w:sz w:val="28"/>
          <w:szCs w:val="28"/>
        </w:rPr>
        <w:t>294.薹菜属于白菜亚种中的薹菜变种,是白菜亚种中以(   )为产品的变种。</w:t>
      </w:r>
    </w:p>
    <w:p w14:paraId="51DE9E0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菜心</w:t>
      </w:r>
      <w:r>
        <w:rPr>
          <w:rFonts w:hint="eastAsia" w:ascii="仿宋_GB2312" w:hAnsi="仿宋_GB2312" w:eastAsia="仿宋_GB2312" w:cs="仿宋_GB2312"/>
          <w:sz w:val="28"/>
          <w:szCs w:val="28"/>
        </w:rPr>
        <w:fldChar w:fldCharType="end"/>
      </w:r>
    </w:p>
    <w:p w14:paraId="20EADC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菜根</w:t>
      </w:r>
      <w:r>
        <w:rPr>
          <w:rFonts w:hint="eastAsia" w:ascii="仿宋_GB2312" w:hAnsi="仿宋_GB2312" w:eastAsia="仿宋_GB2312" w:cs="仿宋_GB2312"/>
          <w:sz w:val="28"/>
          <w:szCs w:val="28"/>
        </w:rPr>
        <w:fldChar w:fldCharType="end"/>
      </w:r>
    </w:p>
    <w:p w14:paraId="090B8E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花薹</w:t>
      </w:r>
      <w:r>
        <w:rPr>
          <w:rFonts w:hint="eastAsia" w:ascii="仿宋_GB2312" w:hAnsi="仿宋_GB2312" w:eastAsia="仿宋_GB2312" w:cs="仿宋_GB2312"/>
          <w:sz w:val="28"/>
          <w:szCs w:val="28"/>
        </w:rPr>
        <w:fldChar w:fldCharType="end"/>
      </w:r>
    </w:p>
    <w:p w14:paraId="44BC607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叶丛</w:t>
      </w:r>
      <w:r>
        <w:rPr>
          <w:rFonts w:hint="eastAsia" w:ascii="仿宋_GB2312" w:hAnsi="仿宋_GB2312" w:eastAsia="仿宋_GB2312" w:cs="仿宋_GB2312"/>
          <w:sz w:val="28"/>
          <w:szCs w:val="28"/>
        </w:rPr>
        <w:fldChar w:fldCharType="end"/>
      </w:r>
    </w:p>
    <w:p w14:paraId="6C0ECFE2">
      <w:pPr>
        <w:rPr>
          <w:rFonts w:ascii="仿宋_GB2312" w:eastAsia="仿宋_GB2312"/>
          <w:sz w:val="28"/>
          <w:szCs w:val="28"/>
        </w:rPr>
      </w:pPr>
      <w:r>
        <w:rPr>
          <w:rFonts w:hint="eastAsia" w:ascii="仿宋_GB2312" w:eastAsia="仿宋_GB2312"/>
          <w:sz w:val="28"/>
          <w:szCs w:val="28"/>
        </w:rPr>
        <w:t>295.花椰菜采收时要保留5</w:t>
      </w:r>
      <w:r>
        <w:rPr>
          <w:rFonts w:hint="eastAsia" w:ascii="仿宋" w:hAnsi="仿宋" w:eastAsia="仿宋"/>
          <w:sz w:val="28"/>
          <w:szCs w:val="28"/>
        </w:rPr>
        <w:t>～</w:t>
      </w:r>
      <w:r>
        <w:rPr>
          <w:rFonts w:hint="eastAsia" w:ascii="仿宋_GB2312" w:eastAsia="仿宋_GB2312"/>
          <w:sz w:val="28"/>
          <w:szCs w:val="28"/>
        </w:rPr>
        <w:t>6片嫩叶，主要作用是为了（   ）。</w:t>
      </w:r>
    </w:p>
    <w:p w14:paraId="70FE4B4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A.保护花球  </w:t>
      </w:r>
    </w:p>
    <w:p w14:paraId="13C8B7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B.方便采摘 </w:t>
      </w:r>
    </w:p>
    <w:p w14:paraId="5E08BF5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C.美观</w:t>
      </w:r>
    </w:p>
    <w:p w14:paraId="3B1D7D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D.增加重量 </w:t>
      </w:r>
    </w:p>
    <w:p w14:paraId="4FB5A85E">
      <w:pPr>
        <w:rPr>
          <w:rFonts w:ascii="仿宋_GB2312" w:eastAsia="仿宋_GB2312"/>
          <w:sz w:val="28"/>
          <w:szCs w:val="28"/>
        </w:rPr>
      </w:pPr>
      <w:r>
        <w:rPr>
          <w:rFonts w:hint="eastAsia" w:ascii="仿宋_GB2312" w:eastAsia="仿宋_GB2312"/>
          <w:sz w:val="28"/>
          <w:szCs w:val="28"/>
        </w:rPr>
        <w:t xml:space="preserve">296.豇豆幼苗定植后浇水的原则是（   ）。 </w:t>
      </w:r>
    </w:p>
    <w:p w14:paraId="5E8360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A.前期宜多，后期要少 </w:t>
      </w:r>
    </w:p>
    <w:p w14:paraId="09E09E6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B.前期宜少，后期要多</w:t>
      </w:r>
    </w:p>
    <w:p w14:paraId="2040BCA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C.前期不浇，后期要多</w:t>
      </w:r>
    </w:p>
    <w:p w14:paraId="2CB1B47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D.前期宜多，后期不浇 </w:t>
      </w:r>
    </w:p>
    <w:p w14:paraId="7E629444">
      <w:pPr>
        <w:rPr>
          <w:rFonts w:ascii="仿宋_GB2312" w:eastAsia="仿宋_GB2312"/>
          <w:sz w:val="28"/>
          <w:szCs w:val="28"/>
        </w:rPr>
      </w:pPr>
      <w:r>
        <w:rPr>
          <w:rFonts w:hint="eastAsia" w:ascii="仿宋_GB2312" w:eastAsia="仿宋_GB2312"/>
          <w:sz w:val="28"/>
          <w:szCs w:val="28"/>
        </w:rPr>
        <w:t xml:space="preserve">297.（   ）是指在同一块菜田上，按一定的年限轮换种植几种性质不同的蔬菜，也称换茬或倒茬。 </w:t>
      </w:r>
    </w:p>
    <w:p w14:paraId="7D0B242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A.连作 </w:t>
      </w:r>
    </w:p>
    <w:p w14:paraId="535F146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B.间作 </w:t>
      </w:r>
    </w:p>
    <w:p w14:paraId="0187BB0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C.套作 </w:t>
      </w:r>
    </w:p>
    <w:p w14:paraId="237016C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D.轮作 </w:t>
      </w:r>
    </w:p>
    <w:p w14:paraId="1229B308">
      <w:pPr>
        <w:rPr>
          <w:rFonts w:ascii="仿宋_GB2312" w:eastAsia="仿宋_GB2312"/>
          <w:sz w:val="28"/>
          <w:szCs w:val="28"/>
        </w:rPr>
      </w:pPr>
      <w:r>
        <w:rPr>
          <w:rFonts w:hint="eastAsia" w:ascii="仿宋_GB2312" w:eastAsia="仿宋_GB2312"/>
          <w:sz w:val="28"/>
          <w:szCs w:val="28"/>
        </w:rPr>
        <w:t>298.下列关于韭菜设施栽培技术错误的是(  )。</w:t>
      </w:r>
    </w:p>
    <w:p w14:paraId="3E0EC10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在5月下旬至7月下旬,用辛硫磷、敌百虫等灌根防治韭蛆</w:t>
      </w:r>
      <w:r>
        <w:rPr>
          <w:rFonts w:hint="eastAsia" w:ascii="仿宋_GB2312" w:hAnsi="仿宋_GB2312" w:eastAsia="仿宋_GB2312" w:cs="仿宋_GB2312"/>
          <w:sz w:val="28"/>
          <w:szCs w:val="28"/>
        </w:rPr>
        <w:fldChar w:fldCharType="end"/>
      </w:r>
    </w:p>
    <w:p w14:paraId="6DF13DE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韭菜的收割不宜太深或太浅,一般在鳞茎之上3～4cm为宜</w:t>
      </w:r>
      <w:r>
        <w:rPr>
          <w:rFonts w:hint="eastAsia" w:ascii="仿宋_GB2312" w:hAnsi="仿宋_GB2312" w:eastAsia="仿宋_GB2312" w:cs="仿宋_GB2312"/>
          <w:sz w:val="28"/>
          <w:szCs w:val="28"/>
        </w:rPr>
        <w:fldChar w:fldCharType="end"/>
      </w:r>
    </w:p>
    <w:p w14:paraId="3372FFF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韭菜性喜热暖,耐热不耐寒,原产于中国,全国各地均有栽培</w:t>
      </w:r>
      <w:r>
        <w:rPr>
          <w:rFonts w:hint="eastAsia" w:ascii="仿宋_GB2312" w:hAnsi="仿宋_GB2312" w:eastAsia="仿宋_GB2312" w:cs="仿宋_GB2312"/>
          <w:sz w:val="28"/>
          <w:szCs w:val="28"/>
        </w:rPr>
        <w:fldChar w:fldCharType="end"/>
      </w:r>
    </w:p>
    <w:p w14:paraId="6DFA314D">
      <w:pPr>
        <w:spacing w:line="360" w:lineRule="auto"/>
        <w:ind w:firstLine="280" w:firstLineChars="100"/>
        <w:rPr>
          <w:rFonts w:ascii="仿宋_GB2312" w:eastAsia="仿宋_GB2312"/>
          <w:sz w:val="28"/>
          <w:szCs w:val="28"/>
        </w:rPr>
      </w:pPr>
      <w:r>
        <w:rPr>
          <w:rFonts w:hint="eastAsia" w:ascii="仿宋_GB2312" w:hAnsi="仿宋_GB2312" w:eastAsia="仿宋_GB2312" w:cs="仿宋_GB2312"/>
          <w:sz w:val="28"/>
          <w:szCs w:val="28"/>
        </w:rPr>
        <w:t>D.</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韭菜虫害以韭蛆为主,病害以灰霉病为主</w:t>
      </w:r>
      <w:r>
        <w:rPr>
          <w:rFonts w:hint="eastAsia" w:ascii="仿宋_GB2312" w:hAnsi="仿宋_GB2312" w:eastAsia="仿宋_GB2312" w:cs="仿宋_GB2312"/>
          <w:sz w:val="28"/>
          <w:szCs w:val="28"/>
        </w:rPr>
        <w:fldChar w:fldCharType="end"/>
      </w:r>
    </w:p>
    <w:p w14:paraId="057B3598">
      <w:pPr>
        <w:rPr>
          <w:rFonts w:ascii="仿宋_GB2312" w:eastAsia="仿宋_GB2312"/>
          <w:sz w:val="28"/>
          <w:szCs w:val="28"/>
        </w:rPr>
      </w:pPr>
      <w:r>
        <w:rPr>
          <w:rFonts w:hint="eastAsia" w:ascii="仿宋_GB2312" w:eastAsia="仿宋_GB2312"/>
          <w:sz w:val="28"/>
          <w:szCs w:val="28"/>
        </w:rPr>
        <w:t>299.根据温度对蔬菜分类，茄果类蔬菜属于（   ）。</w:t>
      </w:r>
    </w:p>
    <w:p w14:paraId="432EF2A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w:t>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"https://mooc1.chaoxing.com/exam/javascript:void(0)"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耐寒蔬菜</w:t>
      </w:r>
    </w:p>
    <w:p w14:paraId="4B84B34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t>B.</w:t>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"https://mooc1.chaoxing.com/exam/javascript:void(0)"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半耐寒蔬菜</w:t>
      </w:r>
    </w:p>
    <w:p w14:paraId="7537095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t>C.</w:t>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"https://mooc1.chaoxing.com/exam/javascript:void(0)"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喜温蔬菜</w:t>
      </w:r>
    </w:p>
    <w:p w14:paraId="287B607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t>D.</w:t>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"https://mooc1.chaoxing.com/exam/javascript:void(0)"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耐热蔬菜</w:t>
      </w:r>
    </w:p>
    <w:p w14:paraId="65FEB028">
      <w:pPr>
        <w:spacing w:line="360" w:lineRule="auto"/>
        <w:ind w:firstLine="280" w:firstLineChars="100"/>
        <w:rPr>
          <w:rFonts w:ascii="仿宋" w:hAnsi="仿宋" w:eastAsia="仿宋"/>
          <w:sz w:val="28"/>
          <w:szCs w:val="28"/>
        </w:rPr>
      </w:pPr>
      <w:r>
        <w:rPr>
          <w:rFonts w:hint="eastAsia" w:ascii="仿宋_GB2312" w:hAnsi="仿宋_GB2312" w:eastAsia="仿宋_GB2312" w:cs="仿宋_GB2312"/>
          <w:sz w:val="28"/>
          <w:szCs w:val="28"/>
        </w:rPr>
        <w:fldChar w:fldCharType="end"/>
      </w:r>
      <w:r>
        <w:rPr>
          <w:rFonts w:hint="eastAsia" w:ascii="仿宋_GB2312" w:eastAsia="仿宋_GB2312"/>
          <w:sz w:val="28"/>
          <w:szCs w:val="28"/>
        </w:rPr>
        <w:t>300.</w:t>
      </w:r>
      <w:r>
        <w:rPr>
          <w:rFonts w:hint="eastAsia" w:ascii="仿宋" w:hAnsi="仿宋" w:eastAsia="仿宋"/>
          <w:sz w:val="28"/>
          <w:szCs w:val="28"/>
        </w:rPr>
        <w:t>（   ）主要用于核桃、柿树的嫁接。</w:t>
      </w:r>
    </w:p>
    <w:p w14:paraId="6F780B9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A.嵌芽接</w:t>
      </w:r>
      <w:r>
        <w:rPr>
          <w:rFonts w:hint="eastAsia" w:ascii="仿宋_GB2312" w:hAnsi="仿宋_GB2312" w:eastAsia="仿宋_GB2312" w:cs="仿宋_GB2312"/>
          <w:sz w:val="28"/>
          <w:szCs w:val="28"/>
        </w:rPr>
        <w:tab/>
      </w:r>
    </w:p>
    <w:p w14:paraId="1442D56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B.方块芽接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5EDD7EC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C.套芽接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2435317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D.“T”形芽接</w:t>
      </w:r>
    </w:p>
    <w:p w14:paraId="0FB027D0">
      <w:pPr>
        <w:rPr>
          <w:rFonts w:ascii="仿宋_GB2312" w:eastAsia="仿宋_GB2312"/>
          <w:sz w:val="28"/>
          <w:szCs w:val="28"/>
        </w:rPr>
      </w:pPr>
      <w:r>
        <w:rPr>
          <w:rFonts w:hint="eastAsia" w:ascii="仿宋_GB2312" w:eastAsia="仿宋_GB2312"/>
          <w:sz w:val="28"/>
          <w:szCs w:val="28"/>
        </w:rPr>
        <w:t>301.叶菜类蔬菜生长期需（   ）相对较多。</w:t>
      </w:r>
    </w:p>
    <w:p w14:paraId="47AD5DA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A.磷 </w:t>
      </w:r>
    </w:p>
    <w:p w14:paraId="3408A27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B.钾 </w:t>
      </w:r>
    </w:p>
    <w:p w14:paraId="1636341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C.氮 </w:t>
      </w:r>
    </w:p>
    <w:p w14:paraId="0E422FC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D.硼  </w:t>
      </w:r>
    </w:p>
    <w:p w14:paraId="6BAF3541">
      <w:pPr>
        <w:rPr>
          <w:rFonts w:ascii="仿宋_GB2312" w:eastAsia="仿宋_GB2312"/>
          <w:sz w:val="28"/>
          <w:szCs w:val="28"/>
        </w:rPr>
      </w:pPr>
      <w:r>
        <w:rPr>
          <w:rFonts w:hint="eastAsia" w:ascii="仿宋_GB2312" w:eastAsia="仿宋_GB2312"/>
          <w:sz w:val="28"/>
          <w:szCs w:val="28"/>
        </w:rPr>
        <w:t>302.下列描述不属于瓜类蔬菜描述的是（   ）。</w:t>
      </w:r>
    </w:p>
    <w:p w14:paraId="435A9A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A.瓜类蔬菜以果实为产品</w:t>
      </w:r>
    </w:p>
    <w:p w14:paraId="6417024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B.瓜类蔬菜属葫芦科植物</w:t>
      </w:r>
    </w:p>
    <w:p w14:paraId="7ED0409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C.生长要求冷凉的气候，生育期要求较低的温度和充足的光照</w:t>
      </w:r>
    </w:p>
    <w:p w14:paraId="64DA2FC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D.瓜类蔬菜茎为蔓性，雌雄同株，异花</w:t>
      </w:r>
    </w:p>
    <w:p w14:paraId="452A942A">
      <w:pPr>
        <w:rPr>
          <w:rFonts w:ascii="仿宋_GB2312" w:eastAsia="仿宋_GB2312"/>
          <w:sz w:val="28"/>
          <w:szCs w:val="28"/>
        </w:rPr>
      </w:pPr>
      <w:r>
        <w:rPr>
          <w:rFonts w:hint="eastAsia" w:ascii="仿宋_GB2312" w:eastAsia="仿宋_GB2312"/>
          <w:sz w:val="28"/>
          <w:szCs w:val="28"/>
        </w:rPr>
        <w:t>303.叶菜黑斑病在高温高湿条件下病部穿孔，病斑上生黑色霉状物，潮湿环境下更为明显，茎和叶柄上病斑呈纵条形，其上也生有黑色霉状物（   ）。</w:t>
      </w:r>
    </w:p>
    <w:p w14:paraId="6D2C7D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A.细菌 </w:t>
      </w:r>
    </w:p>
    <w:p w14:paraId="2B0BFC3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B.病毒 </w:t>
      </w:r>
    </w:p>
    <w:p w14:paraId="3F955AB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C.分生孢子 </w:t>
      </w:r>
    </w:p>
    <w:p w14:paraId="5D7B47B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D.病状 </w:t>
      </w:r>
    </w:p>
    <w:p w14:paraId="3B6A915C">
      <w:pPr>
        <w:rPr>
          <w:rFonts w:ascii="仿宋_GB2312" w:eastAsia="仿宋_GB2312"/>
          <w:sz w:val="28"/>
          <w:szCs w:val="28"/>
        </w:rPr>
      </w:pPr>
      <w:r>
        <w:rPr>
          <w:rFonts w:hint="eastAsia" w:ascii="仿宋_GB2312" w:eastAsia="仿宋_GB2312"/>
          <w:sz w:val="28"/>
          <w:szCs w:val="28"/>
        </w:rPr>
        <w:t>304.苦瓜催芽应置于（   ）℃催芽约48小时。</w:t>
      </w:r>
    </w:p>
    <w:p w14:paraId="650D269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A.20～25</w:t>
      </w:r>
    </w:p>
    <w:p w14:paraId="31FA441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B.25～30</w:t>
      </w:r>
    </w:p>
    <w:p w14:paraId="6DCD14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C.30</w:t>
      </w:r>
    </w:p>
    <w:p w14:paraId="656FAC3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D.20 </w:t>
      </w:r>
    </w:p>
    <w:p w14:paraId="3E7573C3">
      <w:pPr>
        <w:rPr>
          <w:rFonts w:ascii="仿宋_GB2312" w:eastAsia="仿宋_GB2312"/>
          <w:sz w:val="28"/>
          <w:szCs w:val="28"/>
        </w:rPr>
      </w:pPr>
      <w:r>
        <w:rPr>
          <w:rFonts w:hint="eastAsia" w:ascii="仿宋_GB2312" w:eastAsia="仿宋_GB2312"/>
          <w:sz w:val="28"/>
          <w:szCs w:val="28"/>
        </w:rPr>
        <w:t>305.不属于豌豆设施栽培正常茬口的是（   ）。</w:t>
      </w:r>
    </w:p>
    <w:p w14:paraId="13B4FE7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A.秋冬茬</w:t>
      </w:r>
    </w:p>
    <w:p w14:paraId="1AE87B1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B.早春茬</w:t>
      </w:r>
    </w:p>
    <w:p w14:paraId="3070634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C.夏秋茬</w:t>
      </w:r>
    </w:p>
    <w:p w14:paraId="5C9452A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D.冬茬 </w:t>
      </w:r>
    </w:p>
    <w:p w14:paraId="03EE1F57">
      <w:pPr>
        <w:rPr>
          <w:rFonts w:ascii="仿宋_GB2312" w:eastAsia="仿宋_GB2312"/>
          <w:sz w:val="28"/>
          <w:szCs w:val="28"/>
        </w:rPr>
      </w:pPr>
      <w:r>
        <w:rPr>
          <w:rFonts w:hint="eastAsia" w:ascii="仿宋_GB2312" w:eastAsia="仿宋_GB2312"/>
          <w:sz w:val="28"/>
          <w:szCs w:val="28"/>
        </w:rPr>
        <w:t xml:space="preserve">306.两种或两种以上的蔬菜不规则地混合种植，称为（   ）。 </w:t>
      </w:r>
    </w:p>
    <w:p w14:paraId="3394528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A.连作 </w:t>
      </w:r>
    </w:p>
    <w:p w14:paraId="306FBE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B.混作 </w:t>
      </w:r>
    </w:p>
    <w:p w14:paraId="62DFA7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C.套作 </w:t>
      </w:r>
    </w:p>
    <w:p w14:paraId="1602E59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D.轮作  </w:t>
      </w:r>
    </w:p>
    <w:p w14:paraId="60FEEF04">
      <w:pPr>
        <w:rPr>
          <w:rFonts w:ascii="仿宋_GB2312" w:eastAsia="仿宋_GB2312"/>
          <w:sz w:val="28"/>
          <w:szCs w:val="28"/>
        </w:rPr>
      </w:pPr>
      <w:r>
        <w:rPr>
          <w:rFonts w:hint="eastAsia" w:ascii="仿宋_GB2312" w:eastAsia="仿宋_GB2312"/>
          <w:sz w:val="28"/>
          <w:szCs w:val="28"/>
        </w:rPr>
        <w:t>307.棚内10cm地温连续3</w:t>
      </w:r>
      <w:r>
        <w:rPr>
          <w:rFonts w:hint="eastAsia" w:ascii="仿宋" w:hAnsi="仿宋" w:eastAsia="仿宋"/>
          <w:sz w:val="28"/>
          <w:szCs w:val="28"/>
        </w:rPr>
        <w:t>～</w:t>
      </w:r>
      <w:r>
        <w:rPr>
          <w:rFonts w:hint="eastAsia" w:ascii="仿宋_GB2312" w:eastAsia="仿宋_GB2312"/>
          <w:sz w:val="28"/>
          <w:szCs w:val="28"/>
        </w:rPr>
        <w:t>4天稳定在（   ）℃以上时，黄瓜幼苗方可定植。</w:t>
      </w:r>
    </w:p>
    <w:p w14:paraId="1269878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A.6</w:t>
      </w:r>
    </w:p>
    <w:p w14:paraId="7D41A90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B.8</w:t>
      </w:r>
    </w:p>
    <w:p w14:paraId="0421686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C.10</w:t>
      </w:r>
    </w:p>
    <w:p w14:paraId="69D39E2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D.12  </w:t>
      </w:r>
    </w:p>
    <w:p w14:paraId="0E428F5F">
      <w:pPr>
        <w:rPr>
          <w:rFonts w:ascii="仿宋_GB2312" w:eastAsia="仿宋_GB2312"/>
          <w:sz w:val="28"/>
          <w:szCs w:val="28"/>
        </w:rPr>
      </w:pPr>
      <w:r>
        <w:rPr>
          <w:rFonts w:hint="eastAsia" w:ascii="仿宋_GB2312" w:eastAsia="仿宋_GB2312"/>
          <w:sz w:val="28"/>
          <w:szCs w:val="28"/>
        </w:rPr>
        <w:t>308.在栽培豆类蔬菜时氮肥的施用量较少，是因为（   ）。</w:t>
      </w:r>
    </w:p>
    <w:p w14:paraId="244A13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A.实际需要量少 </w:t>
      </w:r>
    </w:p>
    <w:p w14:paraId="430DB0F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B.有根瘤菌，能固氮 </w:t>
      </w:r>
    </w:p>
    <w:p w14:paraId="234C15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C.能吸收空气中的氮 </w:t>
      </w:r>
    </w:p>
    <w:p w14:paraId="4FC8E8A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D.氮对豆类蔬菜有害  </w:t>
      </w:r>
    </w:p>
    <w:p w14:paraId="0D88368C">
      <w:pPr>
        <w:rPr>
          <w:rFonts w:ascii="仿宋_GB2312" w:eastAsia="仿宋_GB2312"/>
          <w:sz w:val="28"/>
          <w:szCs w:val="28"/>
        </w:rPr>
      </w:pPr>
      <w:r>
        <w:rPr>
          <w:rFonts w:hint="eastAsia" w:ascii="仿宋_GB2312" w:eastAsia="仿宋_GB2312"/>
          <w:sz w:val="28"/>
          <w:szCs w:val="28"/>
        </w:rPr>
        <w:t>309.下列关于早春西葫芦栽培品种选择的描述不正确的是（   ）。</w:t>
      </w:r>
    </w:p>
    <w:p w14:paraId="6E872FF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A.早熟丰产 </w:t>
      </w:r>
    </w:p>
    <w:p w14:paraId="2F110D2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B.节间粗短，瓜码密</w:t>
      </w:r>
    </w:p>
    <w:p w14:paraId="0EC1320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C.耐寒，耐湿，耐低温、抗病性强 </w:t>
      </w:r>
    </w:p>
    <w:p w14:paraId="054F1A7E">
      <w:pPr>
        <w:spacing w:line="360" w:lineRule="auto"/>
        <w:ind w:firstLine="280" w:firstLineChars="100"/>
        <w:rPr>
          <w:rFonts w:ascii="仿宋_GB2312" w:eastAsia="仿宋_GB2312"/>
          <w:sz w:val="28"/>
          <w:szCs w:val="28"/>
        </w:rPr>
      </w:pPr>
      <w:r>
        <w:rPr>
          <w:rFonts w:hint="eastAsia" w:ascii="仿宋_GB2312" w:hAnsi="仿宋_GB2312" w:eastAsia="仿宋_GB2312" w:cs="仿宋_GB2312"/>
          <w:sz w:val="28"/>
          <w:szCs w:val="28"/>
        </w:rPr>
        <w:t>D.晚熟丰产</w:t>
      </w:r>
      <w:r>
        <w:rPr>
          <w:rFonts w:hint="eastAsia" w:ascii="仿宋_GB2312" w:eastAsia="仿宋_GB2312"/>
          <w:sz w:val="28"/>
          <w:szCs w:val="28"/>
        </w:rPr>
        <w:t xml:space="preserve">   </w:t>
      </w:r>
    </w:p>
    <w:p w14:paraId="06B5C64A">
      <w:pPr>
        <w:spacing w:line="360" w:lineRule="auto"/>
        <w:rPr>
          <w:rFonts w:ascii="仿宋" w:hAnsi="仿宋" w:eastAsia="仿宋"/>
          <w:sz w:val="28"/>
          <w:szCs w:val="28"/>
        </w:rPr>
      </w:pPr>
      <w:r>
        <w:rPr>
          <w:rFonts w:hint="eastAsia" w:ascii="仿宋_GB2312" w:eastAsia="仿宋_GB2312"/>
          <w:sz w:val="28"/>
          <w:szCs w:val="28"/>
        </w:rPr>
        <w:t>310.</w:t>
      </w:r>
      <w:r>
        <w:rPr>
          <w:rFonts w:hint="eastAsia" w:ascii="仿宋" w:hAnsi="仿宋" w:eastAsia="仿宋"/>
          <w:sz w:val="28"/>
          <w:szCs w:val="28"/>
        </w:rPr>
        <w:t>（  ）又称带木质部芽接，在砧、穗均难以离皮时采用。比较适宜于枝条较细或芽体偏小如桃、杏、金枝槐、紫叶李、美人梅等。</w:t>
      </w:r>
    </w:p>
    <w:p w14:paraId="2E7B0F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A.嵌芽接</w:t>
      </w:r>
      <w:r>
        <w:rPr>
          <w:rFonts w:hint="eastAsia" w:ascii="仿宋_GB2312" w:hAnsi="仿宋_GB2312" w:eastAsia="仿宋_GB2312" w:cs="仿宋_GB2312"/>
          <w:sz w:val="28"/>
          <w:szCs w:val="28"/>
        </w:rPr>
        <w:tab/>
      </w:r>
    </w:p>
    <w:p w14:paraId="79501C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B.方块芽接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702E75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C.套芽接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153DAD1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D.“T”形芽接</w:t>
      </w:r>
    </w:p>
    <w:p w14:paraId="7AF2B951">
      <w:pPr>
        <w:rPr>
          <w:rFonts w:ascii="仿宋_GB2312" w:eastAsia="仿宋_GB2312"/>
          <w:sz w:val="28"/>
          <w:szCs w:val="28"/>
        </w:rPr>
      </w:pPr>
      <w:r>
        <w:rPr>
          <w:rFonts w:hint="eastAsia" w:ascii="仿宋_GB2312" w:eastAsia="仿宋_GB2312"/>
          <w:sz w:val="28"/>
          <w:szCs w:val="28"/>
        </w:rPr>
        <w:t>311.为提高椿芽的整齐度，多采用喷施（   ）的方法，打破香椿的休眠期。</w:t>
      </w:r>
    </w:p>
    <w:p w14:paraId="0FA51B4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A.脱落酸</w:t>
      </w:r>
    </w:p>
    <w:p w14:paraId="4849FF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B.赤霉素</w:t>
      </w:r>
    </w:p>
    <w:p w14:paraId="35C531A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C.乙烯</w:t>
      </w:r>
    </w:p>
    <w:p w14:paraId="01B87CB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D.多效唑</w:t>
      </w:r>
    </w:p>
    <w:p w14:paraId="457A59BC">
      <w:pPr>
        <w:rPr>
          <w:rFonts w:ascii="仿宋_GB2312" w:eastAsia="仿宋_GB2312"/>
          <w:sz w:val="28"/>
          <w:szCs w:val="28"/>
        </w:rPr>
      </w:pPr>
      <w:r>
        <w:rPr>
          <w:rFonts w:hint="eastAsia" w:ascii="仿宋_GB2312" w:eastAsia="仿宋_GB2312"/>
          <w:sz w:val="28"/>
          <w:szCs w:val="28"/>
        </w:rPr>
        <w:t>312.两种或两种以上的蔬菜隔畦、隔行或隔株同时有规则地栽培在同一地块上，称为（   ）。</w:t>
      </w:r>
    </w:p>
    <w:p w14:paraId="5CBFBE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A.连作 </w:t>
      </w:r>
    </w:p>
    <w:p w14:paraId="7D7B86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B.间作 </w:t>
      </w:r>
    </w:p>
    <w:p w14:paraId="605B6C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C.套作 </w:t>
      </w:r>
    </w:p>
    <w:p w14:paraId="7B090C9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D.轮作  </w:t>
      </w:r>
    </w:p>
    <w:p w14:paraId="3FC4A210">
      <w:pPr>
        <w:rPr>
          <w:rFonts w:ascii="仿宋_GB2312" w:eastAsia="仿宋_GB2312"/>
          <w:sz w:val="28"/>
          <w:szCs w:val="28"/>
        </w:rPr>
      </w:pPr>
      <w:r>
        <w:rPr>
          <w:rFonts w:hint="eastAsia" w:ascii="仿宋_GB2312" w:eastAsia="仿宋_GB2312"/>
          <w:sz w:val="28"/>
          <w:szCs w:val="28"/>
        </w:rPr>
        <w:t>313.下列关于番茄双杆整枝的描述，不正确的是（   ）</w:t>
      </w:r>
    </w:p>
    <w:p w14:paraId="07042B3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A.双杆整枝适用于中晚熟无限生长型品种</w:t>
      </w:r>
    </w:p>
    <w:p w14:paraId="4B02987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B.适用于早熟有限生长型品种</w:t>
      </w:r>
    </w:p>
    <w:p w14:paraId="5C71479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C.此方法以提高番茄产量为目的</w:t>
      </w:r>
    </w:p>
    <w:p w14:paraId="1DCE473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D.除了将第一花穗下留一侧枝作为主枝，形成两个主杆，其余侧枝全部抹去</w:t>
      </w:r>
    </w:p>
    <w:p w14:paraId="72A33472">
      <w:pPr>
        <w:rPr>
          <w:rFonts w:ascii="仿宋_GB2312" w:eastAsia="仿宋_GB2312"/>
          <w:sz w:val="28"/>
          <w:szCs w:val="28"/>
        </w:rPr>
      </w:pPr>
      <w:r>
        <w:rPr>
          <w:rFonts w:hint="eastAsia" w:ascii="仿宋_GB2312" w:eastAsia="仿宋_GB2312"/>
          <w:sz w:val="28"/>
          <w:szCs w:val="28"/>
        </w:rPr>
        <w:t>314.牛心菜也属于（   ）。</w:t>
      </w:r>
    </w:p>
    <w:p w14:paraId="206FA22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A.皱叶甘蓝 </w:t>
      </w:r>
    </w:p>
    <w:p w14:paraId="201ADB0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B.赤球甘蓝 </w:t>
      </w:r>
    </w:p>
    <w:p w14:paraId="6182C83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C.结球甘蓝 </w:t>
      </w:r>
    </w:p>
    <w:p w14:paraId="3978DD3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D.芥蓝   </w:t>
      </w:r>
    </w:p>
    <w:p w14:paraId="43168A66">
      <w:pPr>
        <w:rPr>
          <w:rFonts w:ascii="仿宋_GB2312" w:eastAsia="仿宋_GB2312"/>
          <w:sz w:val="28"/>
          <w:szCs w:val="28"/>
        </w:rPr>
      </w:pPr>
      <w:r>
        <w:rPr>
          <w:rFonts w:hint="eastAsia" w:ascii="仿宋_GB2312" w:eastAsia="仿宋_GB2312"/>
          <w:sz w:val="28"/>
          <w:szCs w:val="28"/>
        </w:rPr>
        <w:t>315.蔬菜苗期温度管理的原则是（  ）。</w:t>
      </w:r>
    </w:p>
    <w:p w14:paraId="019847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A.一高一低 </w:t>
      </w:r>
    </w:p>
    <w:p w14:paraId="71476B9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B.两高两低 </w:t>
      </w:r>
    </w:p>
    <w:p w14:paraId="66BBE4B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C.三高三低 </w:t>
      </w:r>
    </w:p>
    <w:p w14:paraId="3B2E758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D.四高四低  </w:t>
      </w:r>
    </w:p>
    <w:p w14:paraId="0EA3BD61">
      <w:pPr>
        <w:rPr>
          <w:rFonts w:ascii="仿宋_GB2312" w:eastAsia="仿宋_GB2312"/>
          <w:sz w:val="28"/>
          <w:szCs w:val="28"/>
        </w:rPr>
      </w:pPr>
      <w:r>
        <w:rPr>
          <w:rFonts w:hint="eastAsia" w:ascii="仿宋_GB2312" w:eastAsia="仿宋_GB2312"/>
          <w:sz w:val="28"/>
          <w:szCs w:val="28"/>
        </w:rPr>
        <w:t>316.一般辣椒幼苗具有（  ）片真叶展开时分苗。</w:t>
      </w:r>
    </w:p>
    <w:p w14:paraId="65AA782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A.2～3</w:t>
      </w:r>
    </w:p>
    <w:p w14:paraId="2BF46EB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B.1～2</w:t>
      </w:r>
    </w:p>
    <w:p w14:paraId="00F17C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C.4～5</w:t>
      </w:r>
    </w:p>
    <w:p w14:paraId="2F697C2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D.5～6 </w:t>
      </w:r>
    </w:p>
    <w:p w14:paraId="2B8AFC83">
      <w:pPr>
        <w:rPr>
          <w:rFonts w:ascii="仿宋_GB2312" w:eastAsia="仿宋_GB2312"/>
          <w:sz w:val="28"/>
          <w:szCs w:val="28"/>
        </w:rPr>
      </w:pPr>
      <w:r>
        <w:rPr>
          <w:rFonts w:hint="eastAsia" w:ascii="仿宋_GB2312" w:eastAsia="仿宋_GB2312"/>
          <w:sz w:val="28"/>
          <w:szCs w:val="28"/>
        </w:rPr>
        <w:t xml:space="preserve">317.菜豆植株主蔓长约30～50cm时开始引蔓上架，引蔓上架宜在（    ）进行。 </w:t>
      </w:r>
    </w:p>
    <w:p w14:paraId="69B0C6D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A.阴天 </w:t>
      </w:r>
    </w:p>
    <w:p w14:paraId="06BA6F9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B.雨后 </w:t>
      </w:r>
    </w:p>
    <w:p w14:paraId="58F65F0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C.早上 </w:t>
      </w:r>
    </w:p>
    <w:p w14:paraId="2822F2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D.下午 </w:t>
      </w:r>
    </w:p>
    <w:p w14:paraId="70CE7810">
      <w:pPr>
        <w:rPr>
          <w:rFonts w:ascii="仿宋_GB2312" w:eastAsia="仿宋_GB2312"/>
          <w:sz w:val="28"/>
          <w:szCs w:val="28"/>
        </w:rPr>
      </w:pPr>
      <w:r>
        <w:rPr>
          <w:rFonts w:hint="eastAsia" w:ascii="仿宋_GB2312" w:eastAsia="仿宋_GB2312"/>
          <w:sz w:val="28"/>
          <w:szCs w:val="28"/>
        </w:rPr>
        <w:t xml:space="preserve">318.葫芦科蔬菜的果实为（   ）。 </w:t>
      </w:r>
    </w:p>
    <w:p w14:paraId="23E2EDC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A.角果 </w:t>
      </w:r>
    </w:p>
    <w:p w14:paraId="204A30F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B.瓠果 </w:t>
      </w:r>
    </w:p>
    <w:p w14:paraId="3CD950C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C.核果 </w:t>
      </w:r>
    </w:p>
    <w:p w14:paraId="0B2F312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D.荚果 </w:t>
      </w:r>
    </w:p>
    <w:p w14:paraId="658142D1">
      <w:pPr>
        <w:spacing w:line="360" w:lineRule="auto"/>
        <w:rPr>
          <w:rFonts w:ascii="仿宋" w:hAnsi="仿宋" w:eastAsia="仿宋"/>
          <w:sz w:val="28"/>
          <w:szCs w:val="28"/>
        </w:rPr>
      </w:pPr>
      <w:r>
        <w:rPr>
          <w:rFonts w:hint="eastAsia" w:ascii="仿宋_GB2312" w:eastAsia="仿宋_GB2312"/>
          <w:sz w:val="28"/>
          <w:szCs w:val="28"/>
        </w:rPr>
        <w:t>319.</w:t>
      </w:r>
      <w:r>
        <w:rPr>
          <w:rFonts w:hint="eastAsia" w:ascii="仿宋" w:hAnsi="仿宋" w:eastAsia="仿宋"/>
          <w:sz w:val="28"/>
          <w:szCs w:val="28"/>
        </w:rPr>
        <w:t>（   ）是果树育苗上应用广泛的嫁接方法，也是操作简便、 速度快和嫁接成活率最高的方法。</w:t>
      </w:r>
    </w:p>
    <w:p w14:paraId="40428C9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A.嵌芽接</w:t>
      </w:r>
      <w:r>
        <w:rPr>
          <w:rFonts w:hint="eastAsia" w:ascii="仿宋_GB2312" w:hAnsi="仿宋_GB2312" w:eastAsia="仿宋_GB2312" w:cs="仿宋_GB2312"/>
          <w:sz w:val="28"/>
          <w:szCs w:val="28"/>
        </w:rPr>
        <w:tab/>
      </w:r>
    </w:p>
    <w:p w14:paraId="18C6A6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B.方块芽接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297910A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C.套芽接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156E405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D.“T”形芽接</w:t>
      </w:r>
    </w:p>
    <w:p w14:paraId="77C1C0A9">
      <w:pPr>
        <w:rPr>
          <w:rFonts w:ascii="仿宋_GB2312" w:eastAsia="仿宋_GB2312"/>
          <w:sz w:val="28"/>
          <w:szCs w:val="28"/>
        </w:rPr>
      </w:pPr>
      <w:r>
        <w:rPr>
          <w:rFonts w:hint="eastAsia" w:ascii="仿宋_GB2312" w:eastAsia="仿宋_GB2312"/>
          <w:sz w:val="28"/>
          <w:szCs w:val="28"/>
        </w:rPr>
        <w:t xml:space="preserve">320.番茄催熟在(    )期进行。 </w:t>
      </w:r>
    </w:p>
    <w:p w14:paraId="5FBC445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A.绿果期 </w:t>
      </w:r>
    </w:p>
    <w:p w14:paraId="2EEDE73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B.白果期 </w:t>
      </w:r>
    </w:p>
    <w:p w14:paraId="442BC3A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C.变色期 </w:t>
      </w:r>
    </w:p>
    <w:p w14:paraId="5B792D8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D.完熟期 </w:t>
      </w:r>
    </w:p>
    <w:p w14:paraId="72CCDCFE">
      <w:pPr>
        <w:rPr>
          <w:rFonts w:ascii="宋体" w:hAnsi="宋体" w:eastAsia="宋体" w:cs="宋体"/>
          <w:color w:val="000000"/>
          <w:kern w:val="0"/>
          <w:sz w:val="24"/>
          <w:szCs w:val="24"/>
        </w:rPr>
      </w:pPr>
      <w:r>
        <w:rPr>
          <w:rFonts w:hint="eastAsia" w:ascii="仿宋_GB2312" w:eastAsia="仿宋_GB2312"/>
          <w:sz w:val="28"/>
          <w:szCs w:val="28"/>
        </w:rPr>
        <w:t xml:space="preserve">321.下列不属于嫁接育苗优点的是（  ）。 </w:t>
      </w:r>
    </w:p>
    <w:p w14:paraId="1F2A0C0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A.防止土传病害     </w:t>
      </w:r>
    </w:p>
    <w:p w14:paraId="5572959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B.促进对养分的吸收</w:t>
      </w:r>
    </w:p>
    <w:p w14:paraId="0F1C9C5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C.延长生育期</w:t>
      </w:r>
    </w:p>
    <w:p w14:paraId="527CB7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D.增强抗逆性</w:t>
      </w:r>
      <w:r>
        <w:rPr>
          <w:rFonts w:hint="eastAsia" w:ascii="仿宋_GB2312" w:hAnsi="仿宋_GB2312" w:eastAsia="仿宋_GB2312" w:cs="仿宋_GB2312"/>
          <w:sz w:val="28"/>
          <w:szCs w:val="28"/>
        </w:rPr>
        <w:tab/>
      </w:r>
    </w:p>
    <w:p w14:paraId="6D747008">
      <w:pPr>
        <w:rPr>
          <w:rFonts w:ascii="宋体" w:hAnsi="宋体" w:eastAsia="宋体" w:cs="宋体"/>
          <w:color w:val="000000"/>
          <w:kern w:val="0"/>
          <w:sz w:val="24"/>
          <w:szCs w:val="24"/>
        </w:rPr>
      </w:pPr>
      <w:r>
        <w:rPr>
          <w:rFonts w:hint="eastAsia" w:ascii="仿宋_GB2312" w:eastAsia="仿宋_GB2312"/>
          <w:sz w:val="28"/>
          <w:szCs w:val="28"/>
        </w:rPr>
        <w:t>322.下列能促进插穗生根的激素为（   ）。</w:t>
      </w:r>
      <w:r>
        <w:rPr>
          <w:rFonts w:hint="eastAsia" w:ascii="宋体" w:hAnsi="宋体" w:eastAsia="宋体" w:cs="宋体"/>
          <w:color w:val="000000"/>
          <w:kern w:val="0"/>
          <w:sz w:val="24"/>
          <w:szCs w:val="24"/>
        </w:rPr>
        <w:tab/>
      </w:r>
    </w:p>
    <w:p w14:paraId="0CA151E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A.IAA</w:t>
      </w:r>
      <w:r>
        <w:rPr>
          <w:rFonts w:hint="eastAsia" w:ascii="仿宋_GB2312" w:hAnsi="仿宋_GB2312" w:eastAsia="仿宋_GB2312" w:cs="仿宋_GB2312"/>
          <w:sz w:val="28"/>
          <w:szCs w:val="28"/>
        </w:rPr>
        <w:tab/>
      </w:r>
    </w:p>
    <w:p w14:paraId="158FE17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B.ETH</w:t>
      </w:r>
      <w:r>
        <w:rPr>
          <w:rFonts w:hint="eastAsia" w:ascii="仿宋_GB2312" w:hAnsi="仿宋_GB2312" w:eastAsia="仿宋_GB2312" w:cs="仿宋_GB2312"/>
          <w:sz w:val="28"/>
          <w:szCs w:val="28"/>
        </w:rPr>
        <w:tab/>
      </w:r>
    </w:p>
    <w:p w14:paraId="5BAC89E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C.ABA</w:t>
      </w:r>
      <w:r>
        <w:rPr>
          <w:rFonts w:hint="eastAsia" w:ascii="仿宋_GB2312" w:hAnsi="仿宋_GB2312" w:eastAsia="仿宋_GB2312" w:cs="仿宋_GB2312"/>
          <w:sz w:val="28"/>
          <w:szCs w:val="28"/>
        </w:rPr>
        <w:tab/>
      </w:r>
    </w:p>
    <w:p w14:paraId="4DD5F52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D.BA</w:t>
      </w:r>
      <w:r>
        <w:rPr>
          <w:rFonts w:hint="eastAsia" w:ascii="仿宋_GB2312" w:hAnsi="仿宋_GB2312" w:eastAsia="仿宋_GB2312" w:cs="仿宋_GB2312"/>
          <w:sz w:val="28"/>
          <w:szCs w:val="28"/>
        </w:rPr>
        <w:tab/>
      </w:r>
    </w:p>
    <w:p w14:paraId="53B9314F">
      <w:pPr>
        <w:spacing w:line="360" w:lineRule="auto"/>
        <w:rPr>
          <w:rFonts w:ascii="仿宋" w:hAnsi="仿宋" w:eastAsia="仿宋"/>
          <w:sz w:val="28"/>
          <w:szCs w:val="28"/>
        </w:rPr>
      </w:pPr>
      <w:r>
        <w:rPr>
          <w:rFonts w:hint="eastAsia" w:ascii="仿宋_GB2312" w:eastAsia="仿宋_GB2312"/>
          <w:sz w:val="28"/>
          <w:szCs w:val="28"/>
        </w:rPr>
        <w:t>323.</w:t>
      </w:r>
      <w:r>
        <w:rPr>
          <w:rFonts w:hint="eastAsia" w:ascii="仿宋" w:hAnsi="仿宋" w:eastAsia="仿宋"/>
          <w:sz w:val="28"/>
          <w:szCs w:val="28"/>
        </w:rPr>
        <w:t>下列四种果树，可用用实生、嫁接和压条等繁殖方法的是（   ）。</w:t>
      </w:r>
    </w:p>
    <w:p w14:paraId="08299DE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A.荔枝</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0407A56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6704E12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C.核桃</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618E67C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D.枇杷</w:t>
      </w:r>
    </w:p>
    <w:p w14:paraId="1A803401">
      <w:pPr>
        <w:rPr>
          <w:rFonts w:ascii="宋体" w:hAnsi="宋体" w:eastAsia="宋体" w:cs="宋体"/>
          <w:color w:val="000000"/>
          <w:kern w:val="0"/>
          <w:sz w:val="24"/>
          <w:szCs w:val="24"/>
        </w:rPr>
      </w:pPr>
      <w:r>
        <w:rPr>
          <w:rFonts w:hint="eastAsia" w:ascii="仿宋_GB2312" w:eastAsia="仿宋_GB2312"/>
          <w:sz w:val="28"/>
          <w:szCs w:val="28"/>
        </w:rPr>
        <w:t>324.下列哪一种蔬菜嫁接育苗，接穗需要断根（  ）。</w:t>
      </w:r>
      <w:r>
        <w:rPr>
          <w:rFonts w:hint="eastAsia" w:ascii="宋体" w:hAnsi="宋体" w:eastAsia="宋体" w:cs="宋体"/>
          <w:color w:val="000000"/>
          <w:kern w:val="0"/>
          <w:sz w:val="24"/>
          <w:szCs w:val="24"/>
        </w:rPr>
        <w:tab/>
      </w:r>
    </w:p>
    <w:p w14:paraId="5DBF37D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A.插接法</w:t>
      </w:r>
    </w:p>
    <w:p w14:paraId="5510B2E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B.劈接法</w:t>
      </w:r>
    </w:p>
    <w:p w14:paraId="0B0FD09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C.靠接法</w:t>
      </w:r>
    </w:p>
    <w:p w14:paraId="64B9BB0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D.针接法</w:t>
      </w:r>
    </w:p>
    <w:p w14:paraId="5C18E47D">
      <w:pPr>
        <w:spacing w:line="360" w:lineRule="auto"/>
        <w:rPr>
          <w:rFonts w:ascii="仿宋" w:hAnsi="仿宋" w:eastAsia="仿宋"/>
          <w:sz w:val="28"/>
          <w:szCs w:val="28"/>
        </w:rPr>
      </w:pPr>
      <w:r>
        <w:rPr>
          <w:rFonts w:hint="eastAsia" w:ascii="仿宋_GB2312" w:eastAsia="仿宋_GB2312"/>
          <w:sz w:val="28"/>
          <w:szCs w:val="28"/>
        </w:rPr>
        <w:t>325.</w:t>
      </w:r>
      <w:r>
        <w:rPr>
          <w:rFonts w:hint="eastAsia" w:ascii="仿宋" w:hAnsi="仿宋" w:eastAsia="仿宋"/>
          <w:sz w:val="28"/>
          <w:szCs w:val="28"/>
        </w:rPr>
        <w:t>在嫁接方法上可以选用芽接、枝接、胚接和靠接等几种嫁接方法进行繁殖的果木是（   ）。</w:t>
      </w:r>
    </w:p>
    <w:p w14:paraId="78ACB2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A.龙眼</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0E422EF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B.杨梅</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0343596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C.芒果</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6D98555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D.李</w:t>
      </w:r>
    </w:p>
    <w:p w14:paraId="0574FFC4">
      <w:pPr>
        <w:rPr>
          <w:rFonts w:ascii="仿宋_GB2312" w:eastAsia="仿宋_GB2312"/>
          <w:sz w:val="28"/>
          <w:szCs w:val="28"/>
        </w:rPr>
      </w:pPr>
      <w:r>
        <w:rPr>
          <w:rFonts w:hint="eastAsia" w:ascii="仿宋_GB2312" w:eastAsia="仿宋_GB2312"/>
          <w:sz w:val="28"/>
          <w:szCs w:val="28"/>
        </w:rPr>
        <w:t xml:space="preserve">326.嫩枝扦插时，插穗插入基质深度为自身长度的（   ）。  </w:t>
      </w:r>
    </w:p>
    <w:p w14:paraId="2CC8D12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A.1倍</w:t>
      </w:r>
      <w:r>
        <w:rPr>
          <w:rFonts w:hint="eastAsia" w:ascii="仿宋_GB2312" w:hAnsi="仿宋_GB2312" w:eastAsia="仿宋_GB2312" w:cs="仿宋_GB2312"/>
          <w:sz w:val="28"/>
          <w:szCs w:val="28"/>
        </w:rPr>
        <w:tab/>
      </w:r>
    </w:p>
    <w:p w14:paraId="79C3BC5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B.1/3～1/2倍</w:t>
      </w:r>
    </w:p>
    <w:p w14:paraId="70B44AC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C.1/4倍</w:t>
      </w:r>
    </w:p>
    <w:p w14:paraId="2774C75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D.2倍</w:t>
      </w:r>
      <w:r>
        <w:rPr>
          <w:rFonts w:hint="eastAsia" w:ascii="仿宋_GB2312" w:hAnsi="仿宋_GB2312" w:eastAsia="仿宋_GB2312" w:cs="仿宋_GB2312"/>
          <w:sz w:val="28"/>
          <w:szCs w:val="28"/>
        </w:rPr>
        <w:tab/>
      </w:r>
    </w:p>
    <w:p w14:paraId="030B08E8">
      <w:pPr>
        <w:rPr>
          <w:rFonts w:ascii="仿宋_GB2312" w:eastAsia="仿宋_GB2312"/>
          <w:sz w:val="28"/>
          <w:szCs w:val="28"/>
        </w:rPr>
      </w:pPr>
      <w:r>
        <w:rPr>
          <w:rFonts w:hint="eastAsia" w:ascii="仿宋_GB2312" w:eastAsia="仿宋_GB2312"/>
          <w:sz w:val="28"/>
          <w:szCs w:val="28"/>
        </w:rPr>
        <w:t>327.扦插育苗中，最常用的方式是（   ）。</w:t>
      </w:r>
      <w:r>
        <w:rPr>
          <w:rFonts w:hint="eastAsia" w:ascii="仿宋_GB2312" w:eastAsia="仿宋_GB2312"/>
          <w:sz w:val="28"/>
          <w:szCs w:val="28"/>
        </w:rPr>
        <w:tab/>
      </w:r>
    </w:p>
    <w:p w14:paraId="05F845E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A.叶插</w:t>
      </w:r>
    </w:p>
    <w:p w14:paraId="350FF18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B.枝插</w:t>
      </w:r>
    </w:p>
    <w:p w14:paraId="5E36F73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C.根插</w:t>
      </w:r>
    </w:p>
    <w:p w14:paraId="363D7F5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D.芽插</w:t>
      </w:r>
      <w:r>
        <w:rPr>
          <w:rFonts w:hint="eastAsia" w:ascii="仿宋_GB2312" w:hAnsi="仿宋_GB2312" w:eastAsia="仿宋_GB2312" w:cs="仿宋_GB2312"/>
          <w:sz w:val="28"/>
          <w:szCs w:val="28"/>
        </w:rPr>
        <w:tab/>
      </w:r>
    </w:p>
    <w:p w14:paraId="6AAF039E">
      <w:pPr>
        <w:spacing w:line="360" w:lineRule="auto"/>
        <w:rPr>
          <w:rFonts w:ascii="仿宋" w:hAnsi="仿宋" w:eastAsia="仿宋"/>
          <w:sz w:val="28"/>
          <w:szCs w:val="28"/>
        </w:rPr>
      </w:pPr>
      <w:r>
        <w:rPr>
          <w:rFonts w:hint="eastAsia" w:ascii="仿宋_GB2312" w:eastAsia="仿宋_GB2312"/>
          <w:sz w:val="28"/>
          <w:szCs w:val="28"/>
        </w:rPr>
        <w:t>328.</w:t>
      </w:r>
      <w:r>
        <w:rPr>
          <w:rFonts w:hint="eastAsia" w:ascii="仿宋" w:hAnsi="仿宋" w:eastAsia="仿宋"/>
          <w:sz w:val="28"/>
          <w:szCs w:val="28"/>
        </w:rPr>
        <w:t>下列属于有性生殖的是（  ）。</w:t>
      </w:r>
    </w:p>
    <w:p w14:paraId="484A99A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A.蜜桃嫁接到普通桃树上</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74E238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B.克隆牛技术</w:t>
      </w:r>
      <w:r>
        <w:rPr>
          <w:rFonts w:hint="eastAsia" w:ascii="仿宋_GB2312" w:hAnsi="仿宋_GB2312" w:eastAsia="仿宋_GB2312" w:cs="仿宋_GB2312"/>
          <w:sz w:val="28"/>
          <w:szCs w:val="28"/>
        </w:rPr>
        <w:tab/>
      </w:r>
    </w:p>
    <w:p w14:paraId="2B9AE56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C.试管婴儿的培育</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28979C9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D.组织培养技术培育植物</w:t>
      </w:r>
    </w:p>
    <w:p w14:paraId="26E49867">
      <w:pPr>
        <w:rPr>
          <w:rFonts w:ascii="仿宋_GB2312" w:eastAsia="仿宋_GB2312"/>
          <w:sz w:val="28"/>
          <w:szCs w:val="28"/>
        </w:rPr>
      </w:pPr>
      <w:r>
        <w:rPr>
          <w:rFonts w:hint="eastAsia" w:ascii="仿宋_GB2312" w:eastAsia="仿宋_GB2312"/>
          <w:sz w:val="28"/>
          <w:szCs w:val="28"/>
        </w:rPr>
        <w:t>329.幼苗锻炼天数通常为（   ）。</w:t>
      </w:r>
      <w:r>
        <w:rPr>
          <w:rFonts w:hint="eastAsia" w:ascii="仿宋_GB2312" w:eastAsia="仿宋_GB2312"/>
          <w:sz w:val="28"/>
          <w:szCs w:val="28"/>
        </w:rPr>
        <w:tab/>
      </w:r>
    </w:p>
    <w:p w14:paraId="479FCC0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A.1～2d</w:t>
      </w:r>
      <w:r>
        <w:rPr>
          <w:rFonts w:hint="eastAsia" w:ascii="仿宋_GB2312" w:hAnsi="仿宋_GB2312" w:eastAsia="仿宋_GB2312" w:cs="仿宋_GB2312"/>
          <w:sz w:val="28"/>
          <w:szCs w:val="28"/>
        </w:rPr>
        <w:tab/>
      </w:r>
    </w:p>
    <w:p w14:paraId="30B5760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B.2～3d</w:t>
      </w:r>
      <w:r>
        <w:rPr>
          <w:rFonts w:hint="eastAsia" w:ascii="仿宋_GB2312" w:hAnsi="仿宋_GB2312" w:eastAsia="仿宋_GB2312" w:cs="仿宋_GB2312"/>
          <w:sz w:val="28"/>
          <w:szCs w:val="28"/>
        </w:rPr>
        <w:tab/>
      </w:r>
    </w:p>
    <w:p w14:paraId="6CD001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C.3～5d</w:t>
      </w:r>
      <w:r>
        <w:rPr>
          <w:rFonts w:hint="eastAsia" w:ascii="仿宋_GB2312" w:hAnsi="仿宋_GB2312" w:eastAsia="仿宋_GB2312" w:cs="仿宋_GB2312"/>
          <w:sz w:val="28"/>
          <w:szCs w:val="28"/>
        </w:rPr>
        <w:tab/>
      </w:r>
    </w:p>
    <w:p w14:paraId="60F8272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D.7～10d</w:t>
      </w:r>
    </w:p>
    <w:p w14:paraId="33C8ACC8">
      <w:pPr>
        <w:rPr>
          <w:rFonts w:ascii="宋体" w:hAnsi="宋体" w:eastAsia="宋体" w:cs="宋体"/>
          <w:color w:val="000000"/>
          <w:kern w:val="0"/>
          <w:sz w:val="24"/>
          <w:szCs w:val="24"/>
        </w:rPr>
      </w:pPr>
      <w:r>
        <w:rPr>
          <w:rFonts w:hint="eastAsia" w:ascii="仿宋_GB2312" w:eastAsia="仿宋_GB2312"/>
          <w:sz w:val="28"/>
          <w:szCs w:val="28"/>
        </w:rPr>
        <w:t xml:space="preserve">330.用磷酸三钠溶液浸种时，磷酸三钠的配制浓度为（   ）。 </w:t>
      </w:r>
    </w:p>
    <w:p w14:paraId="53FD0F3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A.20%～30%</w:t>
      </w:r>
    </w:p>
    <w:p w14:paraId="713AE26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B.10%～20%</w:t>
      </w:r>
    </w:p>
    <w:p w14:paraId="4ACB323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C.40%～50%</w:t>
      </w:r>
      <w:r>
        <w:rPr>
          <w:rFonts w:hint="eastAsia" w:ascii="仿宋_GB2312" w:hAnsi="仿宋_GB2312" w:eastAsia="仿宋_GB2312" w:cs="仿宋_GB2312"/>
          <w:sz w:val="28"/>
          <w:szCs w:val="28"/>
        </w:rPr>
        <w:tab/>
      </w:r>
    </w:p>
    <w:p w14:paraId="13928C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D.60%～70%</w:t>
      </w:r>
    </w:p>
    <w:p w14:paraId="47E37455">
      <w:pPr>
        <w:rPr>
          <w:rFonts w:ascii="仿宋_GB2312" w:eastAsia="仿宋_GB2312"/>
          <w:sz w:val="28"/>
          <w:szCs w:val="28"/>
        </w:rPr>
      </w:pPr>
      <w:r>
        <w:rPr>
          <w:rFonts w:hint="eastAsia" w:ascii="仿宋_GB2312" w:eastAsia="仿宋_GB2312"/>
          <w:sz w:val="28"/>
          <w:szCs w:val="28"/>
        </w:rPr>
        <w:t>331.热水烫种的水温一般为（   ）。</w:t>
      </w:r>
      <w:r>
        <w:rPr>
          <w:rFonts w:hint="eastAsia" w:ascii="仿宋_GB2312" w:eastAsia="仿宋_GB2312"/>
          <w:sz w:val="28"/>
          <w:szCs w:val="28"/>
        </w:rPr>
        <w:tab/>
      </w:r>
    </w:p>
    <w:p w14:paraId="398301E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A.40～55℃  </w:t>
      </w:r>
    </w:p>
    <w:p w14:paraId="1B76DC1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B.50～60℃  </w:t>
      </w:r>
    </w:p>
    <w:p w14:paraId="09E37D0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C.70～75℃</w:t>
      </w:r>
      <w:r>
        <w:rPr>
          <w:rFonts w:hint="eastAsia" w:ascii="仿宋_GB2312" w:hAnsi="仿宋_GB2312" w:eastAsia="仿宋_GB2312" w:cs="仿宋_GB2312"/>
          <w:sz w:val="28"/>
          <w:szCs w:val="28"/>
        </w:rPr>
        <w:tab/>
      </w:r>
    </w:p>
    <w:p w14:paraId="30B775D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D.90℃以上</w:t>
      </w:r>
      <w:r>
        <w:rPr>
          <w:rFonts w:hint="eastAsia" w:ascii="仿宋_GB2312" w:hAnsi="仿宋_GB2312" w:eastAsia="仿宋_GB2312" w:cs="仿宋_GB2312"/>
          <w:sz w:val="28"/>
          <w:szCs w:val="28"/>
        </w:rPr>
        <w:tab/>
      </w:r>
    </w:p>
    <w:p w14:paraId="525E10B7">
      <w:pPr>
        <w:rPr>
          <w:rFonts w:ascii="仿宋_GB2312" w:eastAsia="仿宋_GB2312"/>
          <w:sz w:val="28"/>
          <w:szCs w:val="28"/>
        </w:rPr>
      </w:pPr>
      <w:r>
        <w:rPr>
          <w:rFonts w:hint="eastAsia" w:ascii="仿宋_GB2312" w:eastAsia="仿宋_GB2312"/>
          <w:sz w:val="28"/>
          <w:szCs w:val="28"/>
        </w:rPr>
        <w:t>332.温汤浸种的水温一般为（   ）。</w:t>
      </w:r>
      <w:r>
        <w:rPr>
          <w:rFonts w:hint="eastAsia" w:ascii="仿宋_GB2312" w:eastAsia="仿宋_GB2312"/>
          <w:sz w:val="28"/>
          <w:szCs w:val="28"/>
        </w:rPr>
        <w:tab/>
      </w:r>
    </w:p>
    <w:p w14:paraId="13F5D5C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A.55～60℃</w:t>
      </w:r>
      <w:r>
        <w:rPr>
          <w:rFonts w:hint="eastAsia" w:ascii="仿宋_GB2312" w:hAnsi="仿宋_GB2312" w:eastAsia="仿宋_GB2312" w:cs="仿宋_GB2312"/>
          <w:sz w:val="28"/>
          <w:szCs w:val="28"/>
        </w:rPr>
        <w:tab/>
      </w:r>
    </w:p>
    <w:p w14:paraId="7C97E9F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B.20～30℃</w:t>
      </w:r>
      <w:r>
        <w:rPr>
          <w:rFonts w:hint="eastAsia" w:ascii="仿宋_GB2312" w:hAnsi="仿宋_GB2312" w:eastAsia="仿宋_GB2312" w:cs="仿宋_GB2312"/>
          <w:sz w:val="28"/>
          <w:szCs w:val="28"/>
        </w:rPr>
        <w:tab/>
      </w:r>
    </w:p>
    <w:p w14:paraId="0BE2826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C.30～40℃</w:t>
      </w:r>
      <w:r>
        <w:rPr>
          <w:rFonts w:hint="eastAsia" w:ascii="仿宋_GB2312" w:hAnsi="仿宋_GB2312" w:eastAsia="仿宋_GB2312" w:cs="仿宋_GB2312"/>
          <w:sz w:val="28"/>
          <w:szCs w:val="28"/>
        </w:rPr>
        <w:tab/>
      </w:r>
    </w:p>
    <w:p w14:paraId="3E50925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D.70℃以上</w:t>
      </w:r>
      <w:r>
        <w:rPr>
          <w:rFonts w:hint="eastAsia" w:ascii="仿宋_GB2312" w:hAnsi="仿宋_GB2312" w:eastAsia="仿宋_GB2312" w:cs="仿宋_GB2312"/>
          <w:sz w:val="28"/>
          <w:szCs w:val="28"/>
        </w:rPr>
        <w:tab/>
      </w:r>
    </w:p>
    <w:p w14:paraId="09D9CC13">
      <w:pPr>
        <w:rPr>
          <w:rFonts w:ascii="仿宋_GB2312" w:eastAsia="仿宋_GB2312"/>
          <w:sz w:val="28"/>
          <w:szCs w:val="28"/>
        </w:rPr>
      </w:pPr>
      <w:r>
        <w:rPr>
          <w:rFonts w:hint="eastAsia" w:ascii="仿宋_GB2312" w:eastAsia="仿宋_GB2312"/>
          <w:sz w:val="28"/>
          <w:szCs w:val="28"/>
        </w:rPr>
        <w:t>333.下列属于有性繁殖育苗的是（   ）。</w:t>
      </w:r>
      <w:r>
        <w:rPr>
          <w:rFonts w:hint="eastAsia" w:ascii="仿宋_GB2312" w:eastAsia="仿宋_GB2312"/>
          <w:sz w:val="28"/>
          <w:szCs w:val="28"/>
        </w:rPr>
        <w:tab/>
      </w:r>
    </w:p>
    <w:p w14:paraId="725622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A.组培育苗</w:t>
      </w:r>
    </w:p>
    <w:p w14:paraId="4DF8219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B.扦插育苗</w:t>
      </w:r>
    </w:p>
    <w:p w14:paraId="71D477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C.分株育苗</w:t>
      </w:r>
      <w:r>
        <w:rPr>
          <w:rFonts w:hint="eastAsia" w:ascii="仿宋_GB2312" w:hAnsi="仿宋_GB2312" w:eastAsia="仿宋_GB2312" w:cs="仿宋_GB2312"/>
          <w:sz w:val="28"/>
          <w:szCs w:val="28"/>
        </w:rPr>
        <w:tab/>
      </w:r>
    </w:p>
    <w:p w14:paraId="4AA00DF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D.播种育苗</w:t>
      </w:r>
    </w:p>
    <w:p w14:paraId="63332FAC">
      <w:pPr>
        <w:rPr>
          <w:rFonts w:ascii="宋体" w:hAnsi="宋体" w:eastAsia="宋体" w:cs="宋体"/>
          <w:color w:val="000000"/>
          <w:kern w:val="0"/>
          <w:sz w:val="24"/>
          <w:szCs w:val="24"/>
        </w:rPr>
      </w:pPr>
      <w:r>
        <w:rPr>
          <w:rFonts w:hint="eastAsia" w:ascii="仿宋_GB2312" w:eastAsia="仿宋_GB2312"/>
          <w:sz w:val="28"/>
          <w:szCs w:val="28"/>
        </w:rPr>
        <w:t>334.最节省种子的播种方法是（  ）。</w:t>
      </w:r>
      <w:r>
        <w:rPr>
          <w:rFonts w:hint="eastAsia" w:ascii="宋体" w:hAnsi="宋体" w:eastAsia="宋体" w:cs="宋体"/>
          <w:color w:val="000000"/>
          <w:kern w:val="0"/>
          <w:sz w:val="24"/>
          <w:szCs w:val="24"/>
        </w:rPr>
        <w:tab/>
      </w:r>
    </w:p>
    <w:p w14:paraId="1831CC3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A.撒播 </w:t>
      </w:r>
    </w:p>
    <w:p w14:paraId="04FA4BB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B.条播</w:t>
      </w:r>
      <w:r>
        <w:rPr>
          <w:rFonts w:hint="eastAsia" w:ascii="仿宋_GB2312" w:hAnsi="仿宋_GB2312" w:eastAsia="仿宋_GB2312" w:cs="仿宋_GB2312"/>
          <w:sz w:val="28"/>
          <w:szCs w:val="28"/>
        </w:rPr>
        <w:tab/>
      </w:r>
    </w:p>
    <w:p w14:paraId="4366CF4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C.点播</w:t>
      </w:r>
      <w:r>
        <w:rPr>
          <w:rFonts w:hint="eastAsia" w:ascii="仿宋_GB2312" w:hAnsi="仿宋_GB2312" w:eastAsia="仿宋_GB2312" w:cs="仿宋_GB2312"/>
          <w:sz w:val="28"/>
          <w:szCs w:val="28"/>
        </w:rPr>
        <w:tab/>
      </w:r>
    </w:p>
    <w:p w14:paraId="2AC7729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D.沟播</w:t>
      </w:r>
    </w:p>
    <w:p w14:paraId="149215D0">
      <w:pPr>
        <w:rPr>
          <w:rFonts w:ascii="仿宋_GB2312" w:eastAsia="仿宋_GB2312"/>
          <w:sz w:val="28"/>
          <w:szCs w:val="28"/>
        </w:rPr>
      </w:pPr>
      <w:r>
        <w:rPr>
          <w:rFonts w:hint="eastAsia" w:ascii="仿宋_GB2312" w:eastAsia="仿宋_GB2312"/>
          <w:sz w:val="28"/>
          <w:szCs w:val="28"/>
        </w:rPr>
        <w:t>335.太阳能消毒时，基质堆高一般为（  ）。</w:t>
      </w:r>
      <w:r>
        <w:rPr>
          <w:rFonts w:hint="eastAsia" w:ascii="仿宋_GB2312" w:eastAsia="仿宋_GB2312"/>
          <w:sz w:val="28"/>
          <w:szCs w:val="28"/>
        </w:rPr>
        <w:tab/>
      </w:r>
    </w:p>
    <w:p w14:paraId="2EDF349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A.10cm</w:t>
      </w:r>
      <w:r>
        <w:rPr>
          <w:rFonts w:hint="eastAsia" w:ascii="仿宋_GB2312" w:hAnsi="仿宋_GB2312" w:eastAsia="仿宋_GB2312" w:cs="仿宋_GB2312"/>
          <w:sz w:val="28"/>
          <w:szCs w:val="28"/>
        </w:rPr>
        <w:tab/>
      </w:r>
    </w:p>
    <w:p w14:paraId="70EC996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B.40cm  </w:t>
      </w:r>
    </w:p>
    <w:p w14:paraId="1C48E7A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C.5～10cm  </w:t>
      </w:r>
    </w:p>
    <w:p w14:paraId="6F9C929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D.20～25cm</w:t>
      </w:r>
      <w:r>
        <w:rPr>
          <w:rFonts w:hint="eastAsia" w:ascii="仿宋_GB2312" w:hAnsi="仿宋_GB2312" w:eastAsia="仿宋_GB2312" w:cs="仿宋_GB2312"/>
          <w:sz w:val="28"/>
          <w:szCs w:val="28"/>
        </w:rPr>
        <w:tab/>
      </w:r>
    </w:p>
    <w:p w14:paraId="6396E4B8">
      <w:pPr>
        <w:rPr>
          <w:rFonts w:ascii="宋体" w:hAnsi="宋体" w:eastAsia="宋体" w:cs="宋体"/>
          <w:color w:val="000000"/>
          <w:kern w:val="0"/>
          <w:sz w:val="24"/>
          <w:szCs w:val="24"/>
        </w:rPr>
      </w:pPr>
      <w:r>
        <w:rPr>
          <w:rFonts w:hint="eastAsia" w:ascii="仿宋_GB2312" w:eastAsia="仿宋_GB2312"/>
          <w:sz w:val="28"/>
          <w:szCs w:val="28"/>
        </w:rPr>
        <w:t xml:space="preserve">336.基质消毒最彻底的方法是（  ）。 </w:t>
      </w:r>
    </w:p>
    <w:p w14:paraId="25443A3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A.蒸汽消毒</w:t>
      </w:r>
    </w:p>
    <w:p w14:paraId="03C0BC7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B.太阳能消毒</w:t>
      </w:r>
      <w:r>
        <w:rPr>
          <w:rFonts w:hint="eastAsia" w:ascii="仿宋_GB2312" w:hAnsi="仿宋_GB2312" w:eastAsia="仿宋_GB2312" w:cs="仿宋_GB2312"/>
          <w:sz w:val="28"/>
          <w:szCs w:val="28"/>
        </w:rPr>
        <w:tab/>
      </w:r>
    </w:p>
    <w:p w14:paraId="4409F16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C.药剂消毒 </w:t>
      </w:r>
    </w:p>
    <w:p w14:paraId="63E43C68">
      <w:pPr>
        <w:spacing w:line="360" w:lineRule="auto"/>
        <w:ind w:firstLine="280" w:firstLineChars="100"/>
        <w:rPr>
          <w:rFonts w:ascii="宋体" w:hAnsi="宋体" w:eastAsia="宋体" w:cs="宋体"/>
          <w:color w:val="000000"/>
          <w:kern w:val="0"/>
          <w:sz w:val="24"/>
          <w:szCs w:val="24"/>
        </w:rPr>
      </w:pPr>
      <w:r>
        <w:rPr>
          <w:rFonts w:hint="eastAsia" w:ascii="仿宋_GB2312" w:hAnsi="仿宋_GB2312" w:eastAsia="仿宋_GB2312" w:cs="仿宋_GB2312"/>
          <w:sz w:val="28"/>
          <w:szCs w:val="28"/>
        </w:rPr>
        <w:t>D.温水消毒</w:t>
      </w:r>
      <w:r>
        <w:rPr>
          <w:rFonts w:hint="eastAsia" w:ascii="仿宋_GB2312" w:hAnsi="仿宋_GB2312" w:eastAsia="仿宋_GB2312" w:cs="仿宋_GB2312"/>
          <w:sz w:val="28"/>
          <w:szCs w:val="28"/>
        </w:rPr>
        <w:tab/>
      </w:r>
      <w:r>
        <w:rPr>
          <w:rFonts w:hint="eastAsia" w:ascii="宋体" w:hAnsi="宋体" w:eastAsia="宋体" w:cs="宋体"/>
          <w:color w:val="000000"/>
          <w:kern w:val="0"/>
          <w:sz w:val="24"/>
          <w:szCs w:val="24"/>
        </w:rPr>
        <w:tab/>
      </w:r>
    </w:p>
    <w:p w14:paraId="7A8EBC7E">
      <w:pPr>
        <w:rPr>
          <w:rFonts w:ascii="仿宋_GB2312" w:eastAsia="仿宋_GB2312"/>
          <w:sz w:val="28"/>
          <w:szCs w:val="28"/>
        </w:rPr>
      </w:pPr>
      <w:r>
        <w:rPr>
          <w:rFonts w:hint="eastAsia" w:ascii="仿宋_GB2312" w:eastAsia="仿宋_GB2312"/>
          <w:sz w:val="28"/>
          <w:szCs w:val="28"/>
        </w:rPr>
        <w:t>337.基质蒸汽消毒持续的时间通常为（  ）。</w:t>
      </w:r>
      <w:r>
        <w:rPr>
          <w:rFonts w:hint="eastAsia" w:ascii="仿宋_GB2312" w:eastAsia="仿宋_GB2312"/>
          <w:sz w:val="28"/>
          <w:szCs w:val="28"/>
        </w:rPr>
        <w:tab/>
      </w:r>
    </w:p>
    <w:p w14:paraId="276498F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A.10min</w:t>
      </w:r>
    </w:p>
    <w:p w14:paraId="1CA38E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B.30min</w:t>
      </w:r>
    </w:p>
    <w:p w14:paraId="0C443D2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C.15～20min</w:t>
      </w:r>
    </w:p>
    <w:p w14:paraId="6023EF5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D.40min以上</w:t>
      </w:r>
      <w:r>
        <w:rPr>
          <w:rFonts w:hint="eastAsia" w:ascii="仿宋_GB2312" w:hAnsi="仿宋_GB2312" w:eastAsia="仿宋_GB2312" w:cs="仿宋_GB2312"/>
          <w:sz w:val="28"/>
          <w:szCs w:val="28"/>
        </w:rPr>
        <w:tab/>
      </w:r>
    </w:p>
    <w:p w14:paraId="5D429806">
      <w:pPr>
        <w:rPr>
          <w:rFonts w:ascii="仿宋_GB2312" w:eastAsia="仿宋_GB2312"/>
          <w:sz w:val="28"/>
          <w:szCs w:val="28"/>
        </w:rPr>
      </w:pPr>
      <w:r>
        <w:rPr>
          <w:rFonts w:hint="eastAsia" w:ascii="仿宋_GB2312" w:eastAsia="仿宋_GB2312"/>
          <w:sz w:val="28"/>
          <w:szCs w:val="28"/>
        </w:rPr>
        <w:t>338.下列基质具有缓冲能力的是（   ）。</w:t>
      </w:r>
      <w:r>
        <w:rPr>
          <w:rFonts w:hint="eastAsia" w:ascii="仿宋_GB2312" w:eastAsia="仿宋_GB2312"/>
          <w:sz w:val="28"/>
          <w:szCs w:val="28"/>
        </w:rPr>
        <w:tab/>
      </w:r>
    </w:p>
    <w:p w14:paraId="6F13EF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A.木屑</w:t>
      </w:r>
      <w:r>
        <w:rPr>
          <w:rFonts w:hint="eastAsia" w:ascii="仿宋_GB2312" w:hAnsi="仿宋_GB2312" w:eastAsia="仿宋_GB2312" w:cs="仿宋_GB2312"/>
          <w:sz w:val="28"/>
          <w:szCs w:val="28"/>
        </w:rPr>
        <w:tab/>
      </w:r>
    </w:p>
    <w:p w14:paraId="49A90B5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B.沙子</w:t>
      </w:r>
      <w:r>
        <w:rPr>
          <w:rFonts w:hint="eastAsia" w:ascii="仿宋_GB2312" w:hAnsi="仿宋_GB2312" w:eastAsia="仿宋_GB2312" w:cs="仿宋_GB2312"/>
          <w:sz w:val="28"/>
          <w:szCs w:val="28"/>
        </w:rPr>
        <w:tab/>
      </w:r>
    </w:p>
    <w:p w14:paraId="3DB096B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C.岩棉</w:t>
      </w:r>
      <w:r>
        <w:rPr>
          <w:rFonts w:hint="eastAsia" w:ascii="仿宋_GB2312" w:hAnsi="仿宋_GB2312" w:eastAsia="仿宋_GB2312" w:cs="仿宋_GB2312"/>
          <w:sz w:val="28"/>
          <w:szCs w:val="28"/>
        </w:rPr>
        <w:tab/>
      </w:r>
    </w:p>
    <w:p w14:paraId="066D9DC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D.石砾</w:t>
      </w:r>
      <w:r>
        <w:rPr>
          <w:rFonts w:hint="eastAsia" w:ascii="仿宋_GB2312" w:hAnsi="仿宋_GB2312" w:eastAsia="仿宋_GB2312" w:cs="仿宋_GB2312"/>
          <w:sz w:val="28"/>
          <w:szCs w:val="28"/>
        </w:rPr>
        <w:tab/>
      </w:r>
    </w:p>
    <w:p w14:paraId="5A98045E">
      <w:pPr>
        <w:rPr>
          <w:rFonts w:ascii="仿宋_GB2312" w:eastAsia="仿宋_GB2312"/>
          <w:sz w:val="28"/>
          <w:szCs w:val="28"/>
        </w:rPr>
      </w:pPr>
      <w:r>
        <w:rPr>
          <w:rFonts w:hint="eastAsia" w:ascii="仿宋_GB2312" w:eastAsia="仿宋_GB2312"/>
          <w:sz w:val="28"/>
          <w:szCs w:val="28"/>
        </w:rPr>
        <w:t>339.下列基质没有阳离子代换量的是（  ）。</w:t>
      </w:r>
      <w:r>
        <w:rPr>
          <w:rFonts w:hint="eastAsia" w:ascii="仿宋_GB2312" w:eastAsia="仿宋_GB2312"/>
          <w:sz w:val="28"/>
          <w:szCs w:val="28"/>
        </w:rPr>
        <w:tab/>
      </w:r>
    </w:p>
    <w:p w14:paraId="4980B48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A.炉渣</w:t>
      </w:r>
    </w:p>
    <w:p w14:paraId="1DE5BB9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B.草炭</w:t>
      </w:r>
      <w:r>
        <w:rPr>
          <w:rFonts w:hint="eastAsia" w:ascii="仿宋_GB2312" w:hAnsi="仿宋_GB2312" w:eastAsia="仿宋_GB2312" w:cs="仿宋_GB2312"/>
          <w:sz w:val="28"/>
          <w:szCs w:val="28"/>
        </w:rPr>
        <w:tab/>
      </w:r>
    </w:p>
    <w:p w14:paraId="27FC38C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C.木屑</w:t>
      </w:r>
      <w:r>
        <w:rPr>
          <w:rFonts w:hint="eastAsia" w:ascii="仿宋_GB2312" w:hAnsi="仿宋_GB2312" w:eastAsia="仿宋_GB2312" w:cs="仿宋_GB2312"/>
          <w:sz w:val="28"/>
          <w:szCs w:val="28"/>
        </w:rPr>
        <w:tab/>
      </w:r>
    </w:p>
    <w:p w14:paraId="00F562C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D.珍珠岩</w:t>
      </w:r>
    </w:p>
    <w:p w14:paraId="67CAD9FA">
      <w:pPr>
        <w:spacing w:line="360" w:lineRule="auto"/>
        <w:rPr>
          <w:rFonts w:ascii="仿宋" w:hAnsi="仿宋" w:eastAsia="仿宋"/>
          <w:sz w:val="28"/>
          <w:szCs w:val="28"/>
        </w:rPr>
      </w:pPr>
      <w:r>
        <w:rPr>
          <w:rFonts w:hint="eastAsia" w:ascii="仿宋_GB2312" w:eastAsia="仿宋_GB2312"/>
          <w:sz w:val="28"/>
          <w:szCs w:val="28"/>
        </w:rPr>
        <w:t>340.</w:t>
      </w:r>
      <w:r>
        <w:rPr>
          <w:rFonts w:hint="eastAsia" w:ascii="仿宋" w:hAnsi="仿宋" w:eastAsia="仿宋"/>
          <w:sz w:val="28"/>
          <w:szCs w:val="28"/>
        </w:rPr>
        <w:t>“苹果红薯”是一种像苹果一样脆又甜的红薯，为保留其优良品种，应该用下列哪种方式进行大量繁殖（   ）。</w:t>
      </w:r>
    </w:p>
    <w:p w14:paraId="72ABDD7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A.播种</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6AFD2FB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B.扦插</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71858D4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C.嫁接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7951D9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D.杂交</w:t>
      </w:r>
    </w:p>
    <w:p w14:paraId="3401A6A4">
      <w:pPr>
        <w:rPr>
          <w:rFonts w:ascii="仿宋_GB2312" w:eastAsia="仿宋_GB2312"/>
          <w:sz w:val="28"/>
          <w:szCs w:val="28"/>
        </w:rPr>
      </w:pPr>
      <w:r>
        <w:rPr>
          <w:rFonts w:hint="eastAsia" w:ascii="仿宋_GB2312" w:eastAsia="仿宋_GB2312"/>
          <w:sz w:val="28"/>
          <w:szCs w:val="28"/>
        </w:rPr>
        <w:t>341.复合基质的数量一般为（   ）。</w:t>
      </w:r>
      <w:r>
        <w:rPr>
          <w:rFonts w:hint="eastAsia" w:ascii="仿宋_GB2312" w:eastAsia="仿宋_GB2312"/>
          <w:sz w:val="28"/>
          <w:szCs w:val="28"/>
        </w:rPr>
        <w:tab/>
      </w:r>
    </w:p>
    <w:p w14:paraId="1DE3A0E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A.4种</w:t>
      </w:r>
      <w:r>
        <w:rPr>
          <w:rFonts w:hint="eastAsia" w:ascii="仿宋_GB2312" w:hAnsi="仿宋_GB2312" w:eastAsia="仿宋_GB2312" w:cs="仿宋_GB2312"/>
          <w:sz w:val="28"/>
          <w:szCs w:val="28"/>
        </w:rPr>
        <w:tab/>
      </w:r>
    </w:p>
    <w:p w14:paraId="65A34AE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B.5种</w:t>
      </w:r>
      <w:r>
        <w:rPr>
          <w:rFonts w:hint="eastAsia" w:ascii="仿宋_GB2312" w:hAnsi="仿宋_GB2312" w:eastAsia="仿宋_GB2312" w:cs="仿宋_GB2312"/>
          <w:sz w:val="28"/>
          <w:szCs w:val="28"/>
        </w:rPr>
        <w:tab/>
      </w:r>
    </w:p>
    <w:p w14:paraId="22C6EFF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C.2～3种</w:t>
      </w:r>
      <w:r>
        <w:rPr>
          <w:rFonts w:hint="eastAsia" w:ascii="仿宋_GB2312" w:hAnsi="仿宋_GB2312" w:eastAsia="仿宋_GB2312" w:cs="仿宋_GB2312"/>
          <w:sz w:val="28"/>
          <w:szCs w:val="28"/>
        </w:rPr>
        <w:tab/>
      </w:r>
    </w:p>
    <w:p w14:paraId="188D7E1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D.5种以上</w:t>
      </w:r>
      <w:r>
        <w:rPr>
          <w:rFonts w:hint="eastAsia" w:ascii="仿宋_GB2312" w:hAnsi="仿宋_GB2312" w:eastAsia="仿宋_GB2312" w:cs="仿宋_GB2312"/>
          <w:sz w:val="28"/>
          <w:szCs w:val="28"/>
        </w:rPr>
        <w:tab/>
      </w:r>
    </w:p>
    <w:p w14:paraId="46E0BEF2">
      <w:pPr>
        <w:rPr>
          <w:rFonts w:ascii="仿宋_GB2312" w:eastAsia="仿宋_GB2312"/>
          <w:sz w:val="28"/>
          <w:szCs w:val="28"/>
        </w:rPr>
      </w:pPr>
      <w:r>
        <w:rPr>
          <w:rFonts w:hint="eastAsia" w:ascii="仿宋_GB2312" w:eastAsia="仿宋_GB2312"/>
          <w:sz w:val="28"/>
          <w:szCs w:val="28"/>
        </w:rPr>
        <w:t>342.下列属于天然基质的为（   ）。</w:t>
      </w:r>
      <w:r>
        <w:rPr>
          <w:rFonts w:hint="eastAsia" w:ascii="仿宋_GB2312" w:eastAsia="仿宋_GB2312"/>
          <w:sz w:val="28"/>
          <w:szCs w:val="28"/>
        </w:rPr>
        <w:tab/>
      </w:r>
    </w:p>
    <w:p w14:paraId="5FB40CC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A.珍珠岩</w:t>
      </w:r>
      <w:r>
        <w:rPr>
          <w:rFonts w:hint="eastAsia" w:ascii="仿宋_GB2312" w:hAnsi="仿宋_GB2312" w:eastAsia="仿宋_GB2312" w:cs="仿宋_GB2312"/>
          <w:sz w:val="28"/>
          <w:szCs w:val="28"/>
        </w:rPr>
        <w:tab/>
      </w:r>
    </w:p>
    <w:p w14:paraId="136947C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B.炉渣</w:t>
      </w:r>
    </w:p>
    <w:p w14:paraId="0BBC340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C.岩棉</w:t>
      </w:r>
      <w:r>
        <w:rPr>
          <w:rFonts w:hint="eastAsia" w:ascii="仿宋_GB2312" w:hAnsi="仿宋_GB2312" w:eastAsia="仿宋_GB2312" w:cs="仿宋_GB2312"/>
          <w:sz w:val="28"/>
          <w:szCs w:val="28"/>
        </w:rPr>
        <w:tab/>
      </w:r>
    </w:p>
    <w:p w14:paraId="1557C59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D.沙子</w:t>
      </w:r>
      <w:r>
        <w:rPr>
          <w:rFonts w:hint="eastAsia" w:ascii="仿宋_GB2312" w:hAnsi="仿宋_GB2312" w:eastAsia="仿宋_GB2312" w:cs="仿宋_GB2312"/>
          <w:sz w:val="28"/>
          <w:szCs w:val="28"/>
        </w:rPr>
        <w:tab/>
      </w:r>
    </w:p>
    <w:p w14:paraId="4CBB3FEC">
      <w:pPr>
        <w:rPr>
          <w:rFonts w:ascii="仿宋_GB2312" w:eastAsia="仿宋_GB2312"/>
          <w:sz w:val="28"/>
          <w:szCs w:val="28"/>
        </w:rPr>
      </w:pPr>
      <w:r>
        <w:rPr>
          <w:rFonts w:hint="eastAsia" w:ascii="仿宋_GB2312" w:eastAsia="仿宋_GB2312"/>
          <w:sz w:val="28"/>
          <w:szCs w:val="28"/>
        </w:rPr>
        <w:t>343.固体基质适宜的气水比为（   ）。</w:t>
      </w:r>
      <w:r>
        <w:rPr>
          <w:rFonts w:hint="eastAsia" w:ascii="仿宋_GB2312" w:eastAsia="仿宋_GB2312"/>
          <w:sz w:val="28"/>
          <w:szCs w:val="28"/>
        </w:rPr>
        <w:tab/>
      </w:r>
    </w:p>
    <w:p w14:paraId="04BCA36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A.1：1</w:t>
      </w:r>
      <w:r>
        <w:rPr>
          <w:rFonts w:hint="eastAsia" w:ascii="仿宋_GB2312" w:hAnsi="仿宋_GB2312" w:eastAsia="仿宋_GB2312" w:cs="仿宋_GB2312"/>
          <w:sz w:val="28"/>
          <w:szCs w:val="28"/>
        </w:rPr>
        <w:tab/>
      </w:r>
    </w:p>
    <w:p w14:paraId="254988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B.1：2</w:t>
      </w:r>
    </w:p>
    <w:p w14:paraId="514215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C.1：2.2</w:t>
      </w:r>
      <w:r>
        <w:rPr>
          <w:rFonts w:hint="eastAsia" w:ascii="仿宋_GB2312" w:hAnsi="仿宋_GB2312" w:eastAsia="仿宋_GB2312" w:cs="仿宋_GB2312"/>
          <w:sz w:val="28"/>
          <w:szCs w:val="28"/>
        </w:rPr>
        <w:tab/>
      </w:r>
    </w:p>
    <w:p w14:paraId="08B8971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D.1：2.5～4</w:t>
      </w:r>
      <w:r>
        <w:rPr>
          <w:rFonts w:hint="eastAsia" w:ascii="仿宋_GB2312" w:hAnsi="仿宋_GB2312" w:eastAsia="仿宋_GB2312" w:cs="仿宋_GB2312"/>
          <w:sz w:val="28"/>
          <w:szCs w:val="28"/>
        </w:rPr>
        <w:tab/>
      </w:r>
    </w:p>
    <w:p w14:paraId="2047E2BE">
      <w:pPr>
        <w:rPr>
          <w:rFonts w:ascii="仿宋_GB2312" w:eastAsia="仿宋_GB2312"/>
          <w:sz w:val="28"/>
          <w:szCs w:val="28"/>
        </w:rPr>
      </w:pPr>
      <w:r>
        <w:rPr>
          <w:rFonts w:hint="eastAsia" w:ascii="仿宋_GB2312" w:eastAsia="仿宋_GB2312"/>
          <w:sz w:val="28"/>
          <w:szCs w:val="28"/>
        </w:rPr>
        <w:t>344.固体基质的总孔隙度反映基质的（   ）。</w:t>
      </w:r>
    </w:p>
    <w:p w14:paraId="01C87D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A.水分容纳量</w:t>
      </w:r>
      <w:r>
        <w:rPr>
          <w:rFonts w:hint="eastAsia" w:ascii="仿宋_GB2312" w:hAnsi="仿宋_GB2312" w:eastAsia="仿宋_GB2312" w:cs="仿宋_GB2312"/>
          <w:sz w:val="28"/>
          <w:szCs w:val="28"/>
        </w:rPr>
        <w:tab/>
      </w:r>
    </w:p>
    <w:p w14:paraId="6FA2EF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B.空气容纳量</w:t>
      </w:r>
      <w:r>
        <w:rPr>
          <w:rFonts w:hint="eastAsia" w:ascii="仿宋_GB2312" w:hAnsi="仿宋_GB2312" w:eastAsia="仿宋_GB2312" w:cs="仿宋_GB2312"/>
          <w:sz w:val="28"/>
          <w:szCs w:val="28"/>
        </w:rPr>
        <w:tab/>
      </w:r>
    </w:p>
    <w:p w14:paraId="33C7C57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C.重量</w:t>
      </w:r>
      <w:r>
        <w:rPr>
          <w:rFonts w:hint="eastAsia" w:ascii="仿宋_GB2312" w:hAnsi="仿宋_GB2312" w:eastAsia="仿宋_GB2312" w:cs="仿宋_GB2312"/>
          <w:sz w:val="28"/>
          <w:szCs w:val="28"/>
        </w:rPr>
        <w:tab/>
      </w:r>
    </w:p>
    <w:p w14:paraId="1C988C6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D.水分和空气容纳总量</w:t>
      </w:r>
      <w:r>
        <w:rPr>
          <w:rFonts w:hint="eastAsia" w:ascii="仿宋_GB2312" w:hAnsi="仿宋_GB2312" w:eastAsia="仿宋_GB2312" w:cs="仿宋_GB2312"/>
          <w:sz w:val="28"/>
          <w:szCs w:val="28"/>
        </w:rPr>
        <w:tab/>
      </w:r>
    </w:p>
    <w:p w14:paraId="77BCCDFC">
      <w:pPr>
        <w:rPr>
          <w:rFonts w:ascii="仿宋_GB2312" w:eastAsia="仿宋_GB2312"/>
          <w:sz w:val="28"/>
          <w:szCs w:val="28"/>
        </w:rPr>
      </w:pPr>
      <w:r>
        <w:rPr>
          <w:rFonts w:hint="eastAsia" w:ascii="仿宋_GB2312" w:eastAsia="仿宋_GB2312"/>
          <w:sz w:val="28"/>
          <w:szCs w:val="28"/>
        </w:rPr>
        <w:t>345.下列能给植物提供部分营养的基质是（   ）。</w:t>
      </w:r>
    </w:p>
    <w:p w14:paraId="694A09C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A.蛭石</w:t>
      </w:r>
    </w:p>
    <w:p w14:paraId="13AD20F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B.珍珠岩</w:t>
      </w:r>
    </w:p>
    <w:p w14:paraId="0C035A7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C.沙子</w:t>
      </w:r>
    </w:p>
    <w:p w14:paraId="7C61EF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D.岩棉</w:t>
      </w:r>
      <w:r>
        <w:rPr>
          <w:rFonts w:hint="eastAsia" w:ascii="仿宋_GB2312" w:hAnsi="仿宋_GB2312" w:eastAsia="仿宋_GB2312" w:cs="仿宋_GB2312"/>
          <w:sz w:val="28"/>
          <w:szCs w:val="28"/>
        </w:rPr>
        <w:tab/>
      </w:r>
    </w:p>
    <w:p w14:paraId="4C095C07">
      <w:pPr>
        <w:rPr>
          <w:rFonts w:ascii="仿宋_GB2312" w:eastAsia="仿宋_GB2312"/>
          <w:sz w:val="28"/>
          <w:szCs w:val="28"/>
        </w:rPr>
      </w:pPr>
      <w:r>
        <w:rPr>
          <w:rFonts w:hint="eastAsia" w:ascii="仿宋_GB2312" w:eastAsia="仿宋_GB2312"/>
          <w:sz w:val="28"/>
          <w:szCs w:val="28"/>
        </w:rPr>
        <w:t>346.营养液温度夏季不应高于多少度，冬季不应低于多少度（ ）。</w:t>
      </w:r>
    </w:p>
    <w:p w14:paraId="64FA103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A.30℃、10℃</w:t>
      </w:r>
    </w:p>
    <w:p w14:paraId="6669871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B.28℃、15℃</w:t>
      </w:r>
    </w:p>
    <w:p w14:paraId="13638E1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C.25℃、5℃</w:t>
      </w:r>
      <w:r>
        <w:rPr>
          <w:rFonts w:hint="eastAsia" w:ascii="仿宋_GB2312" w:hAnsi="仿宋_GB2312" w:eastAsia="仿宋_GB2312" w:cs="仿宋_GB2312"/>
          <w:sz w:val="28"/>
          <w:szCs w:val="28"/>
        </w:rPr>
        <w:tab/>
      </w:r>
    </w:p>
    <w:p w14:paraId="37A84C3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D.35℃、20℃</w:t>
      </w:r>
    </w:p>
    <w:p w14:paraId="293A8410">
      <w:pPr>
        <w:spacing w:line="360" w:lineRule="auto"/>
        <w:rPr>
          <w:rFonts w:ascii="仿宋" w:hAnsi="仿宋" w:eastAsia="仿宋"/>
          <w:sz w:val="28"/>
          <w:szCs w:val="28"/>
        </w:rPr>
      </w:pPr>
      <w:r>
        <w:rPr>
          <w:rFonts w:hint="eastAsia" w:ascii="仿宋_GB2312" w:eastAsia="仿宋_GB2312"/>
          <w:sz w:val="28"/>
          <w:szCs w:val="28"/>
        </w:rPr>
        <w:t>347.</w:t>
      </w:r>
      <w:r>
        <w:rPr>
          <w:rFonts w:hint="eastAsia" w:ascii="仿宋" w:hAnsi="仿宋" w:eastAsia="仿宋"/>
          <w:sz w:val="28"/>
          <w:szCs w:val="28"/>
        </w:rPr>
        <w:t xml:space="preserve"> 某桃园有黄桃、毛桃、蟠桃等多个品种，如果将黄桃的带芽枝条嫁接到毛桃树上，枝条成活并在开花后授粉以蟠桃的花粉，所结桃子可供食用部分的味道接近于（   ）。</w:t>
      </w:r>
    </w:p>
    <w:p w14:paraId="349FB2B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A.毛桃</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210438D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B.蟠桃</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5DE5B23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C.三者兼有</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4D3F2A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D.黄桃</w:t>
      </w:r>
    </w:p>
    <w:p w14:paraId="5855E183">
      <w:pPr>
        <w:rPr>
          <w:rFonts w:ascii="宋体" w:hAnsi="宋体" w:eastAsia="宋体" w:cs="宋体"/>
          <w:color w:val="000000"/>
          <w:kern w:val="0"/>
          <w:sz w:val="24"/>
          <w:szCs w:val="24"/>
        </w:rPr>
      </w:pPr>
      <w:r>
        <w:rPr>
          <w:rFonts w:hint="eastAsia" w:ascii="仿宋_GB2312" w:eastAsia="仿宋_GB2312"/>
          <w:sz w:val="28"/>
          <w:szCs w:val="28"/>
        </w:rPr>
        <w:t>348.营养液的EC值反映营养液的（  ）。</w:t>
      </w:r>
      <w:r>
        <w:rPr>
          <w:rFonts w:hint="eastAsia" w:ascii="宋体" w:hAnsi="宋体" w:eastAsia="宋体" w:cs="宋体"/>
          <w:color w:val="000000"/>
          <w:kern w:val="0"/>
          <w:sz w:val="24"/>
          <w:szCs w:val="24"/>
        </w:rPr>
        <w:tab/>
      </w:r>
    </w:p>
    <w:p w14:paraId="7256D1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A.某种元素的浓度</w:t>
      </w:r>
    </w:p>
    <w:p w14:paraId="66A7250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B.某种肥料的浓度</w:t>
      </w:r>
    </w:p>
    <w:p w14:paraId="0E81434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C.两种肥料的浓度</w:t>
      </w:r>
      <w:r>
        <w:rPr>
          <w:rFonts w:hint="eastAsia" w:ascii="仿宋_GB2312" w:hAnsi="仿宋_GB2312" w:eastAsia="仿宋_GB2312" w:cs="仿宋_GB2312"/>
          <w:sz w:val="28"/>
          <w:szCs w:val="28"/>
        </w:rPr>
        <w:tab/>
      </w:r>
    </w:p>
    <w:p w14:paraId="27D81B2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D.总浓度</w:t>
      </w:r>
      <w:r>
        <w:rPr>
          <w:rFonts w:hint="eastAsia" w:ascii="仿宋_GB2312" w:hAnsi="仿宋_GB2312" w:eastAsia="仿宋_GB2312" w:cs="仿宋_GB2312"/>
          <w:sz w:val="28"/>
          <w:szCs w:val="28"/>
        </w:rPr>
        <w:tab/>
      </w:r>
    </w:p>
    <w:p w14:paraId="26040ACE">
      <w:pPr>
        <w:rPr>
          <w:rFonts w:ascii="宋体" w:hAnsi="宋体" w:eastAsia="宋体" w:cs="宋体"/>
          <w:color w:val="000000"/>
          <w:kern w:val="0"/>
          <w:sz w:val="24"/>
          <w:szCs w:val="24"/>
        </w:rPr>
      </w:pPr>
      <w:r>
        <w:rPr>
          <w:rFonts w:hint="eastAsia" w:ascii="仿宋_GB2312" w:eastAsia="仿宋_GB2312"/>
          <w:sz w:val="28"/>
          <w:szCs w:val="28"/>
        </w:rPr>
        <w:t>349.一日中，设施内的最高温度值一般出现在（   ）。</w:t>
      </w:r>
      <w:r>
        <w:rPr>
          <w:rFonts w:hint="eastAsia" w:ascii="宋体" w:hAnsi="宋体" w:eastAsia="宋体" w:cs="宋体"/>
          <w:color w:val="000000"/>
          <w:kern w:val="0"/>
          <w:sz w:val="24"/>
          <w:szCs w:val="24"/>
        </w:rPr>
        <w:tab/>
      </w:r>
    </w:p>
    <w:p w14:paraId="16CA9F4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A.7～8时</w:t>
      </w:r>
    </w:p>
    <w:p w14:paraId="66CE7E7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B.8～9时</w:t>
      </w:r>
    </w:p>
    <w:p w14:paraId="214EF7F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C.10～12时</w:t>
      </w:r>
    </w:p>
    <w:p w14:paraId="5215B2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D.13～14时</w:t>
      </w:r>
    </w:p>
    <w:p w14:paraId="532EE102">
      <w:pPr>
        <w:rPr>
          <w:rFonts w:ascii="仿宋_GB2312" w:eastAsia="仿宋_GB2312"/>
          <w:sz w:val="28"/>
          <w:szCs w:val="28"/>
        </w:rPr>
      </w:pPr>
      <w:r>
        <w:rPr>
          <w:rFonts w:hint="eastAsia" w:ascii="仿宋_GB2312" w:eastAsia="仿宋_GB2312"/>
          <w:sz w:val="28"/>
          <w:szCs w:val="28"/>
        </w:rPr>
        <w:t>350.栽培的大多数蔬菜，营养液的EC值一般为（  ）。</w:t>
      </w:r>
    </w:p>
    <w:p w14:paraId="571AE73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A.0.1～0.2ms/cm </w:t>
      </w:r>
    </w:p>
    <w:p w14:paraId="38496C4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B.0.2～0.3</w:t>
      </w:r>
      <w:r>
        <w:rPr>
          <w:rFonts w:ascii="仿宋_GB2312" w:hAnsi="仿宋_GB2312" w:eastAsia="仿宋_GB2312" w:cs="仿宋_GB2312"/>
          <w:sz w:val="28"/>
          <w:szCs w:val="28"/>
        </w:rPr>
        <w:t>ms/cm</w:t>
      </w:r>
      <w:r>
        <w:rPr>
          <w:rFonts w:hint="eastAsia" w:ascii="仿宋_GB2312" w:hAnsi="仿宋_GB2312" w:eastAsia="仿宋_GB2312" w:cs="仿宋_GB2312"/>
          <w:sz w:val="28"/>
          <w:szCs w:val="28"/>
        </w:rPr>
        <w:tab/>
      </w:r>
    </w:p>
    <w:p w14:paraId="32B7C41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C.0.4～0.5</w:t>
      </w:r>
      <w:r>
        <w:rPr>
          <w:rFonts w:ascii="仿宋_GB2312" w:hAnsi="仿宋_GB2312" w:eastAsia="仿宋_GB2312" w:cs="仿宋_GB2312"/>
          <w:sz w:val="28"/>
          <w:szCs w:val="28"/>
        </w:rPr>
        <w:t>ms/cm</w:t>
      </w:r>
      <w:r>
        <w:rPr>
          <w:rFonts w:hint="eastAsia" w:ascii="仿宋_GB2312" w:hAnsi="仿宋_GB2312" w:eastAsia="仿宋_GB2312" w:cs="仿宋_GB2312"/>
          <w:sz w:val="28"/>
          <w:szCs w:val="28"/>
        </w:rPr>
        <w:tab/>
      </w:r>
    </w:p>
    <w:p w14:paraId="1EABABC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D.0.5～3</w:t>
      </w:r>
      <w:r>
        <w:rPr>
          <w:rFonts w:ascii="仿宋_GB2312" w:hAnsi="仿宋_GB2312" w:eastAsia="仿宋_GB2312" w:cs="仿宋_GB2312"/>
          <w:sz w:val="28"/>
          <w:szCs w:val="28"/>
        </w:rPr>
        <w:t>ms/cm</w:t>
      </w:r>
      <w:r>
        <w:rPr>
          <w:rFonts w:hint="eastAsia" w:ascii="仿宋_GB2312" w:hAnsi="仿宋_GB2312" w:eastAsia="仿宋_GB2312" w:cs="仿宋_GB2312"/>
          <w:sz w:val="28"/>
          <w:szCs w:val="28"/>
        </w:rPr>
        <w:tab/>
      </w:r>
    </w:p>
    <w:p w14:paraId="55D2973F">
      <w:pPr>
        <w:rPr>
          <w:rFonts w:ascii="仿宋_GB2312" w:eastAsia="仿宋_GB2312"/>
          <w:sz w:val="28"/>
          <w:szCs w:val="28"/>
        </w:rPr>
      </w:pPr>
      <w:r>
        <w:rPr>
          <w:rFonts w:hint="eastAsia" w:ascii="仿宋_GB2312" w:eastAsia="仿宋_GB2312"/>
          <w:sz w:val="28"/>
          <w:szCs w:val="28"/>
        </w:rPr>
        <w:t>351.同等条件下，硝酸钙比硝酸钾的溶解度（   ）。</w:t>
      </w:r>
    </w:p>
    <w:p w14:paraId="0A0E37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A.大</w:t>
      </w:r>
      <w:r>
        <w:rPr>
          <w:rFonts w:hint="eastAsia" w:ascii="仿宋_GB2312" w:hAnsi="仿宋_GB2312" w:eastAsia="仿宋_GB2312" w:cs="仿宋_GB2312"/>
          <w:sz w:val="28"/>
          <w:szCs w:val="28"/>
        </w:rPr>
        <w:tab/>
      </w:r>
    </w:p>
    <w:p w14:paraId="0272B4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B.小</w:t>
      </w:r>
      <w:r>
        <w:rPr>
          <w:rFonts w:hint="eastAsia" w:ascii="仿宋_GB2312" w:hAnsi="仿宋_GB2312" w:eastAsia="仿宋_GB2312" w:cs="仿宋_GB2312"/>
          <w:sz w:val="28"/>
          <w:szCs w:val="28"/>
        </w:rPr>
        <w:tab/>
      </w:r>
    </w:p>
    <w:p w14:paraId="541619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C.相等</w:t>
      </w:r>
      <w:r>
        <w:rPr>
          <w:rFonts w:hint="eastAsia" w:ascii="仿宋_GB2312" w:hAnsi="仿宋_GB2312" w:eastAsia="仿宋_GB2312" w:cs="仿宋_GB2312"/>
          <w:sz w:val="28"/>
          <w:szCs w:val="28"/>
        </w:rPr>
        <w:tab/>
      </w:r>
    </w:p>
    <w:p w14:paraId="4CEEC21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D.无法比较</w:t>
      </w:r>
    </w:p>
    <w:p w14:paraId="24EBE90A">
      <w:pPr>
        <w:rPr>
          <w:rFonts w:ascii="宋体" w:hAnsi="宋体" w:eastAsia="宋体" w:cs="宋体"/>
          <w:color w:val="000000"/>
          <w:kern w:val="0"/>
          <w:sz w:val="24"/>
          <w:szCs w:val="24"/>
        </w:rPr>
      </w:pPr>
      <w:r>
        <w:rPr>
          <w:rFonts w:hint="eastAsia" w:ascii="仿宋_GB2312" w:eastAsia="仿宋_GB2312"/>
          <w:sz w:val="28"/>
          <w:szCs w:val="28"/>
        </w:rPr>
        <w:t>352.硬水的硬度一般为（   ）。</w:t>
      </w:r>
      <w:r>
        <w:rPr>
          <w:rFonts w:hint="eastAsia" w:ascii="宋体" w:hAnsi="宋体" w:eastAsia="宋体" w:cs="宋体"/>
          <w:color w:val="000000"/>
          <w:kern w:val="0"/>
          <w:sz w:val="24"/>
          <w:szCs w:val="24"/>
        </w:rPr>
        <w:tab/>
      </w:r>
      <w:r>
        <w:rPr>
          <w:rFonts w:hint="eastAsia" w:ascii="宋体" w:hAnsi="宋体" w:eastAsia="宋体" w:cs="宋体"/>
          <w:color w:val="000000"/>
          <w:kern w:val="0"/>
          <w:sz w:val="24"/>
          <w:szCs w:val="24"/>
        </w:rPr>
        <w:tab/>
      </w:r>
    </w:p>
    <w:p w14:paraId="396DA10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A.10°以上</w:t>
      </w:r>
      <w:r>
        <w:rPr>
          <w:rFonts w:hint="eastAsia" w:ascii="仿宋_GB2312" w:hAnsi="仿宋_GB2312" w:eastAsia="仿宋_GB2312" w:cs="仿宋_GB2312"/>
          <w:sz w:val="28"/>
          <w:szCs w:val="28"/>
        </w:rPr>
        <w:tab/>
      </w:r>
    </w:p>
    <w:p w14:paraId="75C554E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B.8°以上</w:t>
      </w:r>
    </w:p>
    <w:p w14:paraId="0D948D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C.5°以上</w:t>
      </w:r>
      <w:r>
        <w:rPr>
          <w:rFonts w:hint="eastAsia" w:ascii="仿宋_GB2312" w:hAnsi="仿宋_GB2312" w:eastAsia="仿宋_GB2312" w:cs="仿宋_GB2312"/>
          <w:sz w:val="28"/>
          <w:szCs w:val="28"/>
        </w:rPr>
        <w:tab/>
      </w:r>
    </w:p>
    <w:p w14:paraId="7DF6690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D.8°以下</w:t>
      </w:r>
    </w:p>
    <w:p w14:paraId="5277A743">
      <w:pPr>
        <w:rPr>
          <w:rFonts w:ascii="宋体" w:hAnsi="宋体" w:eastAsia="宋体" w:cs="宋体"/>
          <w:color w:val="000000"/>
          <w:kern w:val="0"/>
          <w:sz w:val="24"/>
          <w:szCs w:val="24"/>
        </w:rPr>
      </w:pPr>
      <w:r>
        <w:rPr>
          <w:rFonts w:hint="eastAsia" w:ascii="仿宋_GB2312" w:eastAsia="仿宋_GB2312"/>
          <w:sz w:val="28"/>
          <w:szCs w:val="28"/>
        </w:rPr>
        <w:t>353.为了防止长时间贮存浓缩营养液产生沉淀，可加入1mol/L硫酸或硝酸酸化至溶液的pH为（   ）左右。</w:t>
      </w:r>
      <w:r>
        <w:rPr>
          <w:rFonts w:hint="eastAsia" w:ascii="宋体" w:hAnsi="宋体" w:eastAsia="宋体" w:cs="宋体"/>
          <w:color w:val="000000"/>
          <w:kern w:val="0"/>
          <w:sz w:val="24"/>
          <w:szCs w:val="24"/>
        </w:rPr>
        <w:tab/>
      </w:r>
    </w:p>
    <w:p w14:paraId="72968D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A.3～4</w:t>
      </w:r>
      <w:r>
        <w:rPr>
          <w:rFonts w:hint="eastAsia" w:ascii="仿宋_GB2312" w:hAnsi="仿宋_GB2312" w:eastAsia="仿宋_GB2312" w:cs="仿宋_GB2312"/>
          <w:sz w:val="28"/>
          <w:szCs w:val="28"/>
        </w:rPr>
        <w:tab/>
      </w:r>
    </w:p>
    <w:p w14:paraId="062DC96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B.5～6</w:t>
      </w:r>
    </w:p>
    <w:p w14:paraId="5A3634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C.7～8</w:t>
      </w:r>
      <w:r>
        <w:rPr>
          <w:rFonts w:hint="eastAsia" w:ascii="仿宋_GB2312" w:hAnsi="仿宋_GB2312" w:eastAsia="仿宋_GB2312" w:cs="仿宋_GB2312"/>
          <w:sz w:val="28"/>
          <w:szCs w:val="28"/>
        </w:rPr>
        <w:tab/>
      </w:r>
    </w:p>
    <w:p w14:paraId="67C49C4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D.9～10</w:t>
      </w:r>
      <w:r>
        <w:rPr>
          <w:rFonts w:hint="eastAsia" w:ascii="仿宋_GB2312" w:hAnsi="仿宋_GB2312" w:eastAsia="仿宋_GB2312" w:cs="仿宋_GB2312"/>
          <w:sz w:val="28"/>
          <w:szCs w:val="28"/>
        </w:rPr>
        <w:tab/>
      </w:r>
    </w:p>
    <w:p w14:paraId="02CB5D45">
      <w:pPr>
        <w:spacing w:line="360" w:lineRule="auto"/>
        <w:rPr>
          <w:rFonts w:ascii="仿宋" w:hAnsi="仿宋" w:eastAsia="仿宋"/>
          <w:sz w:val="28"/>
          <w:szCs w:val="28"/>
        </w:rPr>
      </w:pPr>
      <w:r>
        <w:rPr>
          <w:rFonts w:hint="eastAsia" w:ascii="仿宋_GB2312" w:eastAsia="仿宋_GB2312"/>
          <w:sz w:val="28"/>
          <w:szCs w:val="28"/>
        </w:rPr>
        <w:t>354.</w:t>
      </w:r>
      <w:r>
        <w:rPr>
          <w:rFonts w:hint="eastAsia" w:ascii="仿宋" w:hAnsi="仿宋" w:eastAsia="仿宋"/>
          <w:sz w:val="28"/>
          <w:szCs w:val="28"/>
        </w:rPr>
        <w:t>水密桃味甜，毛桃味酸，将水蜜桃的枝接到毛桃枝上，结出的成熟果实其味道为（    ）。</w:t>
      </w:r>
    </w:p>
    <w:p w14:paraId="3C3B16D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A.酸甜各半 </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14953E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B.甜</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433E6F0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C.酸</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5538269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D.苦涩</w:t>
      </w:r>
    </w:p>
    <w:p w14:paraId="09F5B805">
      <w:pPr>
        <w:rPr>
          <w:rFonts w:ascii="仿宋_GB2312" w:eastAsia="仿宋_GB2312"/>
          <w:sz w:val="28"/>
          <w:szCs w:val="28"/>
        </w:rPr>
      </w:pPr>
      <w:r>
        <w:rPr>
          <w:rFonts w:hint="eastAsia" w:ascii="仿宋_GB2312" w:eastAsia="仿宋_GB2312"/>
          <w:sz w:val="28"/>
          <w:szCs w:val="28"/>
        </w:rPr>
        <w:t>355.连栋大棚一天内空气相对湿度最低的时间为（   ）。</w:t>
      </w:r>
    </w:p>
    <w:p w14:paraId="5E25214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A.8～9时</w:t>
      </w:r>
    </w:p>
    <w:p w14:paraId="3F9911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B.10～11时</w:t>
      </w:r>
    </w:p>
    <w:p w14:paraId="556214E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C.11～12时</w:t>
      </w:r>
    </w:p>
    <w:p w14:paraId="09B002C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D.12～13时</w:t>
      </w:r>
    </w:p>
    <w:p w14:paraId="766DE013">
      <w:pPr>
        <w:rPr>
          <w:rFonts w:ascii="仿宋_GB2312" w:eastAsia="仿宋_GB2312"/>
          <w:sz w:val="28"/>
          <w:szCs w:val="28"/>
        </w:rPr>
      </w:pPr>
      <w:r>
        <w:rPr>
          <w:rFonts w:hint="eastAsia" w:ascii="仿宋_GB2312" w:eastAsia="仿宋_GB2312"/>
          <w:sz w:val="28"/>
          <w:szCs w:val="28"/>
        </w:rPr>
        <w:t>356.一般单栋温室的保温比为（  ）。</w:t>
      </w:r>
    </w:p>
    <w:p w14:paraId="2BD1833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A.0.2～0.3</w:t>
      </w:r>
    </w:p>
    <w:p w14:paraId="22E144C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B.0.3～0.4</w:t>
      </w:r>
    </w:p>
    <w:p w14:paraId="303CA44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C.0.5～0.6</w:t>
      </w:r>
    </w:p>
    <w:p w14:paraId="1D056A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D.0.7～0.8</w:t>
      </w:r>
    </w:p>
    <w:p w14:paraId="7EF1FBB7">
      <w:pPr>
        <w:rPr>
          <w:rFonts w:ascii="仿宋_GB2312" w:eastAsia="仿宋_GB2312"/>
          <w:sz w:val="28"/>
          <w:szCs w:val="28"/>
        </w:rPr>
      </w:pPr>
      <w:r>
        <w:rPr>
          <w:rFonts w:hint="eastAsia" w:ascii="仿宋_GB2312" w:eastAsia="仿宋_GB2312"/>
          <w:sz w:val="28"/>
          <w:szCs w:val="28"/>
        </w:rPr>
        <w:t>357.一般连栋温室的保温比为（   ）。</w:t>
      </w:r>
    </w:p>
    <w:p w14:paraId="4661E58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A.0.2～0.3</w:t>
      </w:r>
    </w:p>
    <w:p w14:paraId="58307A9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B.0.3～0.4</w:t>
      </w:r>
    </w:p>
    <w:p w14:paraId="26653B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C.0.5～0.6</w:t>
      </w:r>
    </w:p>
    <w:p w14:paraId="0EE936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D.0.7～0.8</w:t>
      </w:r>
    </w:p>
    <w:p w14:paraId="69C5D99D">
      <w:pPr>
        <w:rPr>
          <w:rFonts w:ascii="仿宋_GB2312" w:eastAsia="仿宋_GB2312"/>
          <w:sz w:val="28"/>
          <w:szCs w:val="28"/>
        </w:rPr>
      </w:pPr>
      <w:r>
        <w:rPr>
          <w:rFonts w:hint="eastAsia" w:ascii="仿宋_GB2312" w:eastAsia="仿宋_GB2312"/>
          <w:sz w:val="28"/>
          <w:szCs w:val="28"/>
        </w:rPr>
        <w:t>358.一般设施内一天中的空气相对湿度最高值出现在上午设施升温前，不通风时相对湿度通常在（   ）以上。</w:t>
      </w:r>
    </w:p>
    <w:p w14:paraId="42B4853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A.65%</w:t>
      </w:r>
    </w:p>
    <w:p w14:paraId="3BD752A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B.75%</w:t>
      </w:r>
    </w:p>
    <w:p w14:paraId="7F93E0F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C.85%</w:t>
      </w:r>
    </w:p>
    <w:p w14:paraId="4F33646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D.95%</w:t>
      </w:r>
    </w:p>
    <w:p w14:paraId="175A1F05">
      <w:pPr>
        <w:rPr>
          <w:rFonts w:ascii="仿宋_GB2312" w:eastAsia="仿宋_GB2312"/>
          <w:sz w:val="28"/>
          <w:szCs w:val="28"/>
        </w:rPr>
      </w:pPr>
      <w:r>
        <w:rPr>
          <w:rFonts w:hint="eastAsia" w:ascii="仿宋_GB2312" w:eastAsia="仿宋_GB2312"/>
          <w:sz w:val="28"/>
          <w:szCs w:val="28"/>
        </w:rPr>
        <w:t>359.设施内一天中的空气相对湿度最低值一般出现在中午气温达最大值时，一般在（   ）左右。</w:t>
      </w:r>
    </w:p>
    <w:p w14:paraId="0B11A13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A.65%</w:t>
      </w:r>
    </w:p>
    <w:p w14:paraId="6995D9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B.75%</w:t>
      </w:r>
    </w:p>
    <w:p w14:paraId="09B4A1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C.85%</w:t>
      </w:r>
    </w:p>
    <w:p w14:paraId="7107104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D.95%</w:t>
      </w:r>
    </w:p>
    <w:p w14:paraId="62B6675C">
      <w:pPr>
        <w:rPr>
          <w:rFonts w:ascii="仿宋_GB2312" w:eastAsia="仿宋_GB2312"/>
          <w:sz w:val="28"/>
          <w:szCs w:val="28"/>
        </w:rPr>
      </w:pPr>
      <w:r>
        <w:rPr>
          <w:rFonts w:hint="eastAsia" w:ascii="仿宋_GB2312" w:eastAsia="仿宋_GB2312"/>
          <w:sz w:val="28"/>
          <w:szCs w:val="28"/>
        </w:rPr>
        <w:t>360.土壤酸化是指土壤的pH明显低于（   ）。</w:t>
      </w:r>
    </w:p>
    <w:p w14:paraId="68DD1A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A.7  </w:t>
      </w:r>
    </w:p>
    <w:p w14:paraId="001383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B.8  </w:t>
      </w:r>
    </w:p>
    <w:p w14:paraId="16AB82D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C.9  </w:t>
      </w:r>
    </w:p>
    <w:p w14:paraId="143DEFC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D.10</w:t>
      </w:r>
    </w:p>
    <w:p w14:paraId="19A1A882">
      <w:pPr>
        <w:rPr>
          <w:rFonts w:ascii="仿宋_GB2312" w:eastAsia="仿宋_GB2312"/>
          <w:sz w:val="28"/>
          <w:szCs w:val="28"/>
        </w:rPr>
      </w:pPr>
      <w:r>
        <w:rPr>
          <w:rFonts w:hint="eastAsia" w:ascii="仿宋_GB2312" w:eastAsia="仿宋_GB2312"/>
          <w:sz w:val="28"/>
          <w:szCs w:val="28"/>
        </w:rPr>
        <w:t>361.设施栽培引起土壤酸化的主要原因是（   ）。</w:t>
      </w:r>
    </w:p>
    <w:p w14:paraId="0786F76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A.浇水次数过多</w:t>
      </w:r>
    </w:p>
    <w:p w14:paraId="591C3C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B.中耕松土</w:t>
      </w:r>
    </w:p>
    <w:p w14:paraId="07BEBAC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C.施肥不当</w:t>
      </w:r>
    </w:p>
    <w:p w14:paraId="7C9AEB3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D.施用有机肥</w:t>
      </w:r>
    </w:p>
    <w:p w14:paraId="719177D6">
      <w:pPr>
        <w:rPr>
          <w:rFonts w:ascii="仿宋_GB2312" w:eastAsia="仿宋_GB2312"/>
          <w:sz w:val="28"/>
          <w:szCs w:val="28"/>
        </w:rPr>
      </w:pPr>
      <w:r>
        <w:rPr>
          <w:rFonts w:hint="eastAsia" w:ascii="仿宋_GB2312" w:eastAsia="仿宋_GB2312"/>
          <w:sz w:val="28"/>
          <w:szCs w:val="28"/>
        </w:rPr>
        <w:t>362.在适宜的浓度范围内，（  ）的浓度越高，高浓度持续的时间越长，越有利于蔬菜的生长和发育。</w:t>
      </w:r>
    </w:p>
    <w:p w14:paraId="2FB5071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A.乙烯</w:t>
      </w:r>
    </w:p>
    <w:p w14:paraId="2F1F39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B.氮气</w:t>
      </w:r>
    </w:p>
    <w:p w14:paraId="7D7734F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C.二氧化氮</w:t>
      </w:r>
    </w:p>
    <w:p w14:paraId="060AD4D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D.二氧化碳</w:t>
      </w:r>
    </w:p>
    <w:p w14:paraId="38F206AC">
      <w:pPr>
        <w:rPr>
          <w:rFonts w:ascii="仿宋_GB2312" w:eastAsia="仿宋_GB2312"/>
          <w:sz w:val="28"/>
          <w:szCs w:val="28"/>
        </w:rPr>
      </w:pPr>
      <w:r>
        <w:rPr>
          <w:rFonts w:hint="eastAsia" w:ascii="仿宋_GB2312" w:eastAsia="仿宋_GB2312"/>
          <w:sz w:val="28"/>
          <w:szCs w:val="28"/>
        </w:rPr>
        <w:t>363.下列不是营养液配制常用磷源的是（    ）。</w:t>
      </w:r>
    </w:p>
    <w:p w14:paraId="028F9CB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A.过磷酸钙</w:t>
      </w:r>
    </w:p>
    <w:p w14:paraId="117A138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B.磷酸二氢钾</w:t>
      </w:r>
    </w:p>
    <w:p w14:paraId="749EFB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C.磷酸二氢铵</w:t>
      </w:r>
    </w:p>
    <w:p w14:paraId="17708E4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D.磷酸一氢铵</w:t>
      </w:r>
    </w:p>
    <w:p w14:paraId="3E7871F6">
      <w:pPr>
        <w:rPr>
          <w:rFonts w:ascii="仿宋_GB2312" w:eastAsia="仿宋_GB2312"/>
          <w:sz w:val="28"/>
          <w:szCs w:val="28"/>
        </w:rPr>
      </w:pPr>
      <w:r>
        <w:rPr>
          <w:rFonts w:hint="eastAsia" w:ascii="仿宋_GB2312" w:eastAsia="仿宋_GB2312"/>
          <w:sz w:val="28"/>
          <w:szCs w:val="28"/>
        </w:rPr>
        <w:t>364.无土栽培中最常用的镁源是（   ）。</w:t>
      </w:r>
    </w:p>
    <w:p w14:paraId="100BE56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A.氯化镁</w:t>
      </w:r>
    </w:p>
    <w:p w14:paraId="0BF7CE3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B.硫酸镁</w:t>
      </w:r>
    </w:p>
    <w:p w14:paraId="63C7638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C.碳酸镁</w:t>
      </w:r>
    </w:p>
    <w:p w14:paraId="0AE45A1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D.氧化镁</w:t>
      </w:r>
    </w:p>
    <w:p w14:paraId="14733E08">
      <w:pPr>
        <w:rPr>
          <w:rFonts w:ascii="仿宋_GB2312" w:eastAsia="仿宋_GB2312"/>
          <w:sz w:val="28"/>
          <w:szCs w:val="28"/>
        </w:rPr>
      </w:pPr>
      <w:r>
        <w:rPr>
          <w:rFonts w:hint="eastAsia" w:ascii="仿宋_GB2312" w:eastAsia="仿宋_GB2312"/>
          <w:sz w:val="28"/>
          <w:szCs w:val="28"/>
        </w:rPr>
        <w:t>365.无土栽培中良好的铁源是（  ）。</w:t>
      </w:r>
    </w:p>
    <w:p w14:paraId="7775BC2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A.氢氧化铁</w:t>
      </w:r>
    </w:p>
    <w:p w14:paraId="29B73E8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B.氢氧化亚铁</w:t>
      </w:r>
    </w:p>
    <w:p w14:paraId="148A3D3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C.四氧化三铁</w:t>
      </w:r>
    </w:p>
    <w:p w14:paraId="1FCB9F9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D.硫酸亚铁</w:t>
      </w:r>
    </w:p>
    <w:p w14:paraId="4AB1A4AB">
      <w:pPr>
        <w:rPr>
          <w:rFonts w:ascii="仿宋_GB2312" w:eastAsia="仿宋_GB2312"/>
          <w:sz w:val="28"/>
          <w:szCs w:val="28"/>
        </w:rPr>
      </w:pPr>
      <w:r>
        <w:rPr>
          <w:rFonts w:hint="eastAsia" w:ascii="仿宋_GB2312" w:eastAsia="仿宋_GB2312"/>
          <w:sz w:val="28"/>
          <w:szCs w:val="28"/>
        </w:rPr>
        <w:t>366.在营养液配方中，一般要求控制营养液总盐分浓度在（ ）以下。</w:t>
      </w:r>
    </w:p>
    <w:p w14:paraId="315F2A5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A.4‰～5‰</w:t>
      </w:r>
    </w:p>
    <w:p w14:paraId="5CBA6E2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B.6‰～7‰</w:t>
      </w:r>
    </w:p>
    <w:p w14:paraId="472B89C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C.8‰～9‰</w:t>
      </w:r>
    </w:p>
    <w:p w14:paraId="4BD6753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D.10‰～11‰</w:t>
      </w:r>
    </w:p>
    <w:p w14:paraId="68B1DDE5">
      <w:pPr>
        <w:rPr>
          <w:rFonts w:ascii="仿宋_GB2312" w:eastAsia="仿宋_GB2312"/>
          <w:sz w:val="28"/>
          <w:szCs w:val="28"/>
        </w:rPr>
      </w:pPr>
      <w:r>
        <w:rPr>
          <w:rFonts w:hint="eastAsia" w:ascii="仿宋_GB2312" w:eastAsia="仿宋_GB2312"/>
          <w:sz w:val="28"/>
          <w:szCs w:val="28"/>
        </w:rPr>
        <w:t>367.如果营养液的总盐分浓度超过（ ）以上，有些植物就会表现出不同程度的盐害。</w:t>
      </w:r>
    </w:p>
    <w:p w14:paraId="32D624F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A.1‰～2‰</w:t>
      </w:r>
    </w:p>
    <w:p w14:paraId="74D6B6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B.2‰～3‰</w:t>
      </w:r>
    </w:p>
    <w:p w14:paraId="66B2F80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C.3‰～4‰</w:t>
      </w:r>
    </w:p>
    <w:p w14:paraId="4C9CE53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D.4‰～5‰</w:t>
      </w:r>
    </w:p>
    <w:p w14:paraId="4973A7E6">
      <w:pPr>
        <w:rPr>
          <w:rFonts w:ascii="仿宋_GB2312" w:eastAsia="仿宋_GB2312"/>
          <w:sz w:val="28"/>
          <w:szCs w:val="28"/>
        </w:rPr>
      </w:pPr>
      <w:r>
        <w:rPr>
          <w:rFonts w:hint="eastAsia" w:ascii="仿宋_GB2312" w:eastAsia="仿宋_GB2312"/>
          <w:sz w:val="28"/>
          <w:szCs w:val="28"/>
        </w:rPr>
        <w:t>368.在水培营养液中，溶存氧的浓度一般要求保持在饱和溶解度（  ）以上。</w:t>
      </w:r>
    </w:p>
    <w:p w14:paraId="06B195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A.20%</w:t>
      </w:r>
    </w:p>
    <w:p w14:paraId="7D92719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B.30%</w:t>
      </w:r>
    </w:p>
    <w:p w14:paraId="03D7649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C.40%</w:t>
      </w:r>
    </w:p>
    <w:p w14:paraId="056741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D.50%</w:t>
      </w:r>
    </w:p>
    <w:p w14:paraId="1A03CB24">
      <w:pPr>
        <w:rPr>
          <w:rFonts w:ascii="仿宋_GB2312" w:eastAsia="仿宋_GB2312"/>
          <w:sz w:val="28"/>
          <w:szCs w:val="28"/>
        </w:rPr>
      </w:pPr>
      <w:r>
        <w:rPr>
          <w:rFonts w:hint="eastAsia" w:ascii="仿宋_GB2312" w:eastAsia="仿宋_GB2312"/>
          <w:sz w:val="28"/>
          <w:szCs w:val="28"/>
        </w:rPr>
        <w:t>369.泥炭一般为（  ）。</w:t>
      </w:r>
    </w:p>
    <w:p w14:paraId="0862528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A.弱碱性</w:t>
      </w:r>
    </w:p>
    <w:p w14:paraId="68B433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B.强碱性</w:t>
      </w:r>
    </w:p>
    <w:p w14:paraId="0FDD776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C.中性</w:t>
      </w:r>
    </w:p>
    <w:p w14:paraId="606C214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D.酸性</w:t>
      </w:r>
    </w:p>
    <w:p w14:paraId="1EF48FF3">
      <w:pPr>
        <w:rPr>
          <w:rFonts w:ascii="仿宋_GB2312" w:eastAsia="仿宋_GB2312"/>
          <w:sz w:val="28"/>
          <w:szCs w:val="28"/>
        </w:rPr>
      </w:pPr>
      <w:r>
        <w:rPr>
          <w:rFonts w:hint="eastAsia" w:ascii="仿宋_GB2312" w:eastAsia="仿宋_GB2312"/>
          <w:sz w:val="28"/>
          <w:szCs w:val="28"/>
        </w:rPr>
        <w:t>370.基质的电导率在（   ）时，对各种作物均无害。</w:t>
      </w:r>
    </w:p>
    <w:p w14:paraId="511C54D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A.&lt;2.6ms/cm </w:t>
      </w:r>
    </w:p>
    <w:p w14:paraId="73EDD54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B.2.6～2.7</w:t>
      </w:r>
      <w:r>
        <w:rPr>
          <w:rFonts w:ascii="仿宋_GB2312" w:hAnsi="仿宋_GB2312" w:eastAsia="仿宋_GB2312" w:cs="仿宋_GB2312"/>
          <w:sz w:val="28"/>
          <w:szCs w:val="28"/>
        </w:rPr>
        <w:t>ms/cm</w:t>
      </w:r>
      <w:r>
        <w:rPr>
          <w:rFonts w:hint="eastAsia" w:ascii="仿宋_GB2312" w:hAnsi="仿宋_GB2312" w:eastAsia="仿宋_GB2312" w:cs="仿宋_GB2312"/>
          <w:sz w:val="28"/>
          <w:szCs w:val="28"/>
        </w:rPr>
        <w:tab/>
      </w:r>
    </w:p>
    <w:p w14:paraId="1327ABA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C.2.7～2.8</w:t>
      </w:r>
      <w:r>
        <w:rPr>
          <w:rFonts w:ascii="仿宋_GB2312" w:hAnsi="仿宋_GB2312" w:eastAsia="仿宋_GB2312" w:cs="仿宋_GB2312"/>
          <w:sz w:val="28"/>
          <w:szCs w:val="28"/>
        </w:rPr>
        <w:t>ms/cm</w:t>
      </w:r>
      <w:r>
        <w:rPr>
          <w:rFonts w:hint="eastAsia" w:ascii="仿宋_GB2312" w:hAnsi="仿宋_GB2312" w:eastAsia="仿宋_GB2312" w:cs="仿宋_GB2312"/>
          <w:sz w:val="28"/>
          <w:szCs w:val="28"/>
        </w:rPr>
        <w:tab/>
      </w:r>
    </w:p>
    <w:p w14:paraId="0B8A82D3">
      <w:pPr>
        <w:spacing w:line="360" w:lineRule="auto"/>
        <w:ind w:firstLine="280" w:firstLineChars="100"/>
        <w:rPr>
          <w:rFonts w:ascii="仿宋_GB2312" w:eastAsia="仿宋_GB2312"/>
          <w:sz w:val="28"/>
          <w:szCs w:val="28"/>
        </w:rPr>
      </w:pPr>
      <w:r>
        <w:rPr>
          <w:rFonts w:hint="eastAsia" w:ascii="仿宋_GB2312" w:hAnsi="仿宋_GB2312" w:eastAsia="仿宋_GB2312" w:cs="仿宋_GB2312"/>
          <w:sz w:val="28"/>
          <w:szCs w:val="28"/>
        </w:rPr>
        <w:t>D.2.8～3.0</w:t>
      </w:r>
      <w:r>
        <w:rPr>
          <w:rFonts w:ascii="仿宋_GB2312" w:hAnsi="仿宋_GB2312" w:eastAsia="仿宋_GB2312" w:cs="仿宋_GB2312"/>
          <w:sz w:val="28"/>
          <w:szCs w:val="28"/>
        </w:rPr>
        <w:t>ms/cm</w:t>
      </w:r>
      <w:r>
        <w:rPr>
          <w:rFonts w:hint="eastAsia" w:ascii="仿宋_GB2312" w:hAnsi="仿宋_GB2312" w:eastAsia="仿宋_GB2312" w:cs="仿宋_GB2312"/>
          <w:sz w:val="28"/>
          <w:szCs w:val="28"/>
        </w:rPr>
        <w:tab/>
      </w:r>
      <w:r>
        <w:rPr>
          <w:rFonts w:ascii="仿宋_GB2312" w:hAnsi="仿宋_GB2312" w:eastAsia="仿宋_GB2312" w:cs="仿宋_GB2312"/>
          <w:sz w:val="28"/>
          <w:szCs w:val="28"/>
        </w:rPr>
        <w:tab/>
      </w:r>
      <w:r>
        <w:rPr>
          <w:rFonts w:ascii="仿宋_GB2312" w:eastAsia="仿宋_GB2312"/>
          <w:b/>
          <w:sz w:val="30"/>
          <w:szCs w:val="30"/>
        </w:rPr>
        <w:tab/>
      </w:r>
    </w:p>
    <w:p w14:paraId="57BEE81E">
      <w:pPr>
        <w:widowControl/>
        <w:jc w:val="left"/>
        <w:rPr>
          <w:rFonts w:ascii="仿宋_GB2312" w:eastAsia="仿宋_GB2312"/>
          <w:b/>
          <w:sz w:val="30"/>
          <w:szCs w:val="30"/>
        </w:rPr>
      </w:pPr>
      <w:r>
        <w:rPr>
          <w:rFonts w:hint="eastAsia" w:ascii="仿宋_GB2312" w:eastAsia="仿宋_GB2312" w:cs="仿宋"/>
          <w:b/>
          <w:kern w:val="0"/>
          <w:sz w:val="28"/>
          <w:szCs w:val="28"/>
        </w:rPr>
        <w:t>二、多选题</w:t>
      </w:r>
    </w:p>
    <w:p w14:paraId="7F94DD4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1.黄瓜育苗中，子叶刚顶土就转入15℃的低温处，这样做的效果是（ ）。</w:t>
      </w:r>
    </w:p>
    <w:p w14:paraId="20030E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A.促进黄瓜苗壮</w:t>
      </w:r>
    </w:p>
    <w:p w14:paraId="03645B2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B.促进子叶生长</w:t>
      </w:r>
    </w:p>
    <w:p w14:paraId="61951C0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C.促进下胚轴生长</w:t>
      </w:r>
    </w:p>
    <w:p w14:paraId="2CE446C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D.控制下胚轴徒长</w:t>
      </w:r>
    </w:p>
    <w:p w14:paraId="6D1651C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2.影响蔬菜呼吸作用的因素有（   ）。</w:t>
      </w:r>
    </w:p>
    <w:p w14:paraId="446FA09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A.温度</w:t>
      </w:r>
    </w:p>
    <w:p w14:paraId="55F8854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B.湿度</w:t>
      </w:r>
    </w:p>
    <w:p w14:paraId="371957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C.氧气含量</w:t>
      </w:r>
    </w:p>
    <w:p w14:paraId="06BEA6E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D.机械伤</w:t>
      </w:r>
    </w:p>
    <w:p w14:paraId="0D2EE62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农谚所说“换种如上粪”。说明了品种保纯尤其重要，需把好下列哪些关口（   ）。</w:t>
      </w:r>
    </w:p>
    <w:p w14:paraId="06BAB16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A.种子处理关</w:t>
      </w:r>
    </w:p>
    <w:p w14:paraId="2F09E537">
      <w:pPr>
        <w:spacing w:line="360" w:lineRule="auto"/>
        <w:ind w:firstLine="280" w:firstLineChars="100"/>
        <w:rPr>
          <w:rFonts w:ascii="仿宋_GB2312" w:hAnsi="仿宋_GB2312" w:eastAsia="仿宋_GB2312" w:cs="仿宋_GB2312"/>
          <w:sz w:val="28"/>
          <w:szCs w:val="28"/>
        </w:rPr>
      </w:pPr>
      <w:r>
        <w:rPr>
          <w:rFonts w:ascii="仿宋_GB2312" w:hAnsi="仿宋_GB2312" w:eastAsia="仿宋_GB2312" w:cs="仿宋_GB2312"/>
          <w:sz w:val="28"/>
          <w:szCs w:val="28"/>
        </w:rPr>
        <w:t>B</w:t>
      </w:r>
      <w:r>
        <w:rPr>
          <w:rFonts w:hint="eastAsia" w:ascii="仿宋_GB2312" w:hAnsi="仿宋_GB2312" w:eastAsia="仿宋_GB2312" w:cs="仿宋_GB2312"/>
          <w:sz w:val="28"/>
          <w:szCs w:val="28"/>
        </w:rPr>
        <w:t>．布局播种关</w:t>
      </w:r>
    </w:p>
    <w:p w14:paraId="662AC5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C.除杂去劣关</w:t>
      </w:r>
    </w:p>
    <w:p w14:paraId="752080D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D.收脱晒藏关</w:t>
      </w:r>
    </w:p>
    <w:p w14:paraId="41B9127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4.嫁接砧木应具备的特点（  ）。</w:t>
      </w:r>
    </w:p>
    <w:p w14:paraId="5FE5CAD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A.与接穗的嫁接亲和力高</w:t>
      </w:r>
    </w:p>
    <w:p w14:paraId="771812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B.砧木根系发达，但对接穗品质有影响</w:t>
      </w:r>
    </w:p>
    <w:p w14:paraId="2084158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C.对接穗的品质影响小</w:t>
      </w:r>
    </w:p>
    <w:p w14:paraId="2E9F2B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D.对病害表现高抗</w:t>
      </w:r>
    </w:p>
    <w:p w14:paraId="61B452D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5.今后我们工厂化育苗产业的发展应注意以下（   ）问题。</w:t>
      </w:r>
    </w:p>
    <w:p w14:paraId="516C234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A.规模化经营</w:t>
      </w:r>
    </w:p>
    <w:p w14:paraId="209FD1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B.产品定位</w:t>
      </w:r>
    </w:p>
    <w:p w14:paraId="1E7CC9F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C.标准化</w:t>
      </w:r>
    </w:p>
    <w:p w14:paraId="13CB28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D.配套设施、设备开发</w:t>
      </w:r>
    </w:p>
    <w:p w14:paraId="78F7E1D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6.工厂化育苗与传统育苗相比，具有优点有（   ）。</w:t>
      </w:r>
    </w:p>
    <w:p w14:paraId="2A94288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A.适合机械化移栽</w:t>
      </w:r>
    </w:p>
    <w:p w14:paraId="406CFF4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B.提高种苗生产效率</w:t>
      </w:r>
    </w:p>
    <w:p w14:paraId="39BF664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C.提高种苗质量</w:t>
      </w:r>
    </w:p>
    <w:p w14:paraId="57F57D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D.商品种苗适合长距离运输</w:t>
      </w:r>
    </w:p>
    <w:p w14:paraId="7D6833F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影响扦插成活的气象因素有（   ）。</w:t>
      </w:r>
    </w:p>
    <w:p w14:paraId="31CD475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A.光照</w:t>
      </w:r>
    </w:p>
    <w:p w14:paraId="5B5F72C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B.温度</w:t>
      </w:r>
    </w:p>
    <w:p w14:paraId="4C00AE0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C.土壤状况  </w:t>
      </w:r>
    </w:p>
    <w:p w14:paraId="34778D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D.大气湿度</w:t>
      </w:r>
    </w:p>
    <w:p w14:paraId="3AF942D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8.以下能够影响幼苗的生长发育的温度是（  ）。</w:t>
      </w:r>
    </w:p>
    <w:p w14:paraId="07B983E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A.气温</w:t>
      </w:r>
    </w:p>
    <w:p w14:paraId="110E8BB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B.地温</w:t>
      </w:r>
    </w:p>
    <w:p w14:paraId="6D05F9B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C.最高气温</w:t>
      </w:r>
    </w:p>
    <w:p w14:paraId="7333AA6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D.最低气温</w:t>
      </w:r>
    </w:p>
    <w:p w14:paraId="671CD37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9.从苗的生理看，组培苗移栽不易成活的原因是（  ）。</w:t>
      </w:r>
    </w:p>
    <w:p w14:paraId="6B666F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A.根的吸收功能差</w:t>
      </w:r>
    </w:p>
    <w:p w14:paraId="26475C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B.适应性差</w:t>
      </w:r>
    </w:p>
    <w:p w14:paraId="0251758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C.叶的光合能力低</w:t>
      </w:r>
    </w:p>
    <w:p w14:paraId="2C2EED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D.叶片光合能力强</w:t>
      </w:r>
    </w:p>
    <w:p w14:paraId="061ECD0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10.黄瓜种子放置一段时间后，播种发芽率会下降，其原因可能有（ ）。</w:t>
      </w:r>
    </w:p>
    <w:p w14:paraId="6B1C9EB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A.种子含水量较高</w:t>
      </w:r>
    </w:p>
    <w:p w14:paraId="7CDA0A8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B.种子放在过于潮湿处</w:t>
      </w:r>
    </w:p>
    <w:p w14:paraId="3DE0192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C.种子放置于高温环境</w:t>
      </w:r>
    </w:p>
    <w:p w14:paraId="56278B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D.所有种子均不能放置</w:t>
      </w:r>
    </w:p>
    <w:p w14:paraId="31C404D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11.蔬菜种子的储藏方法有（  ）。</w:t>
      </w:r>
    </w:p>
    <w:p w14:paraId="28E3913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A.普通干藏法</w:t>
      </w:r>
    </w:p>
    <w:p w14:paraId="32F714D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B.密封干藏法</w:t>
      </w:r>
    </w:p>
    <w:p w14:paraId="00D3D59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C.真空干藏法</w:t>
      </w:r>
    </w:p>
    <w:p w14:paraId="093FFCF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D.湿藏法</w:t>
      </w:r>
    </w:p>
    <w:p w14:paraId="0C3CFFE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 叶面施肥的优点</w:t>
      </w:r>
      <w:r>
        <w:rPr>
          <w:rFonts w:ascii="仿宋_GB2312" w:eastAsia="仿宋_GB2312" w:cs="仿宋"/>
          <w:kern w:val="0"/>
          <w:sz w:val="28"/>
          <w:szCs w:val="28"/>
        </w:rPr>
        <w:t xml:space="preserve">（ </w:t>
      </w:r>
      <w:r>
        <w:rPr>
          <w:rFonts w:hint="eastAsia" w:ascii="仿宋_GB2312" w:eastAsia="仿宋_GB2312" w:cs="仿宋"/>
          <w:kern w:val="0"/>
          <w:sz w:val="28"/>
          <w:szCs w:val="28"/>
        </w:rPr>
        <w:t xml:space="preserve">  </w:t>
      </w:r>
      <w:r>
        <w:rPr>
          <w:rFonts w:ascii="仿宋_GB2312" w:eastAsia="仿宋_GB2312" w:cs="仿宋"/>
          <w:kern w:val="0"/>
          <w:sz w:val="28"/>
          <w:szCs w:val="28"/>
        </w:rPr>
        <w:t>）</w:t>
      </w:r>
      <w:r>
        <w:rPr>
          <w:rFonts w:hint="eastAsia" w:ascii="仿宋_GB2312" w:eastAsia="仿宋_GB2312" w:cs="仿宋"/>
          <w:kern w:val="0"/>
          <w:sz w:val="28"/>
          <w:szCs w:val="28"/>
        </w:rPr>
        <w:t>。</w:t>
      </w:r>
    </w:p>
    <w:p w14:paraId="6C4EEFB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A.用量少</w:t>
      </w:r>
    </w:p>
    <w:p w14:paraId="716AD9F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B.肥效迅速</w:t>
      </w:r>
    </w:p>
    <w:p w14:paraId="1AFAF2B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C.满足植物急需</w:t>
      </w:r>
    </w:p>
    <w:p w14:paraId="763FC1E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D.肥效期长</w:t>
      </w:r>
    </w:p>
    <w:p w14:paraId="44CEF55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13.营养液含氧量不足时可通过（  ）措施来调节。</w:t>
      </w:r>
    </w:p>
    <w:p w14:paraId="1838D0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A.搅拌</w:t>
      </w:r>
    </w:p>
    <w:p w14:paraId="24D3967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B.循环流动</w:t>
      </w:r>
    </w:p>
    <w:p w14:paraId="6E83570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C.降低营养液深度</w:t>
      </w:r>
    </w:p>
    <w:p w14:paraId="34C36A6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D.静置</w:t>
      </w:r>
    </w:p>
    <w:p w14:paraId="72F818C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14.（  ）是园试通用配方配制营养液所需的化合物。</w:t>
      </w:r>
    </w:p>
    <w:p w14:paraId="5DADD9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A.硝酸钙</w:t>
      </w:r>
    </w:p>
    <w:p w14:paraId="13868C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B.硝酸钾</w:t>
      </w:r>
    </w:p>
    <w:p w14:paraId="5E9BE9A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C.硫酸镁</w:t>
      </w:r>
    </w:p>
    <w:p w14:paraId="3A97EC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D.螯合铁</w:t>
      </w:r>
    </w:p>
    <w:p w14:paraId="710E149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15.营养液的氮源主要有（  ）两种。</w:t>
      </w:r>
    </w:p>
    <w:p w14:paraId="330891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A.硝态氮</w:t>
      </w:r>
    </w:p>
    <w:p w14:paraId="296C49A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B.铵态氮</w:t>
      </w:r>
    </w:p>
    <w:p w14:paraId="5F74A6A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C.氮气</w:t>
      </w:r>
    </w:p>
    <w:p w14:paraId="05FE35C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D.酰胺</w:t>
      </w:r>
    </w:p>
    <w:p w14:paraId="45072D0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16.菊花是短日照植物，能使秋菊花提前开放的栽培措施有(   )。</w:t>
      </w:r>
    </w:p>
    <w:p w14:paraId="3FF9328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A.遮光处理</w:t>
      </w:r>
    </w:p>
    <w:p w14:paraId="5E26C01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B.增加光照</w:t>
      </w:r>
    </w:p>
    <w:p w14:paraId="4865326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C.化学处理  </w:t>
      </w:r>
    </w:p>
    <w:p w14:paraId="31DCC0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D.选用早花品种</w:t>
      </w:r>
    </w:p>
    <w:p w14:paraId="69F8A27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17.有利于蔬菜嫁接成活的嫁接场地环境条件的营造，以下做法正确的有（  ）。</w:t>
      </w:r>
    </w:p>
    <w:p w14:paraId="2F98B9D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A.嫁接时，场地内白天气温控制在20～30℃，夜间不低于15℃</w:t>
      </w:r>
    </w:p>
    <w:p w14:paraId="23E2D9D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B.嫁接场地内保持一定散射光照，避免阳光直射到嫁接苗上</w:t>
      </w:r>
    </w:p>
    <w:p w14:paraId="2FE3F56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C.嫁接场地内要保持干燥的空气环境</w:t>
      </w:r>
    </w:p>
    <w:p w14:paraId="14D1C7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D.嫁接场地内要保持相对密闭</w:t>
      </w:r>
    </w:p>
    <w:p w14:paraId="75AF3DF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18.杂交育种需要进行（ ）。</w:t>
      </w:r>
    </w:p>
    <w:p w14:paraId="5F33E70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A.亲本选择</w:t>
      </w:r>
    </w:p>
    <w:p w14:paraId="4881889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B.有性杂交</w:t>
      </w:r>
    </w:p>
    <w:p w14:paraId="11F6F4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C.杂种后代选择</w:t>
      </w:r>
    </w:p>
    <w:p w14:paraId="75A884B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D.后代培育</w:t>
      </w:r>
    </w:p>
    <w:p w14:paraId="594F959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19.下列选项中属于蔬菜种子质量指标的有（ ）</w:t>
      </w:r>
    </w:p>
    <w:p w14:paraId="144E89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A.种子纯度</w:t>
      </w:r>
    </w:p>
    <w:p w14:paraId="786F92F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B.种子净度</w:t>
      </w:r>
    </w:p>
    <w:p w14:paraId="3EF5DF4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C.种子饱满度</w:t>
      </w:r>
    </w:p>
    <w:p w14:paraId="62D4870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D.种子发芽率</w:t>
      </w:r>
    </w:p>
    <w:p w14:paraId="0D40216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20.蔬菜生长期的合理灌水应根据（  ）来确定。</w:t>
      </w:r>
    </w:p>
    <w:p w14:paraId="485ED4E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A.蔬菜的种类</w:t>
      </w:r>
    </w:p>
    <w:p w14:paraId="031703B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B.蔬菜的生长阶段</w:t>
      </w:r>
    </w:p>
    <w:p w14:paraId="0B7695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C.气候变化</w:t>
      </w:r>
    </w:p>
    <w:p w14:paraId="163326F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D.土壤类型</w:t>
      </w:r>
    </w:p>
    <w:p w14:paraId="06ED91A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21.下列植物的木质部与韧皮部之间无形成层的是（   ）。</w:t>
      </w:r>
    </w:p>
    <w:p w14:paraId="30A394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A.小麦</w:t>
      </w:r>
    </w:p>
    <w:p w14:paraId="51C46AE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B.水稻</w:t>
      </w:r>
    </w:p>
    <w:p w14:paraId="7473130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C.油菜</w:t>
      </w:r>
    </w:p>
    <w:p w14:paraId="5325151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D.棉花</w:t>
      </w:r>
    </w:p>
    <w:p w14:paraId="2C7E92B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22.蔬菜生长期追肥的方法有（   ）</w:t>
      </w:r>
    </w:p>
    <w:p w14:paraId="098801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A.沟灌追肥</w:t>
      </w:r>
    </w:p>
    <w:p w14:paraId="30F64D4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B.滴灌追肥</w:t>
      </w:r>
    </w:p>
    <w:p w14:paraId="20CAB42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C.叶面肥</w:t>
      </w:r>
    </w:p>
    <w:p w14:paraId="5DFAE0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D.二氧化碳追肥</w:t>
      </w:r>
    </w:p>
    <w:p w14:paraId="78ED385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23.土壤合理耕作可建立“土壤水库”，达到（  ）的作用，为蔬菜生长发育创造良好的耕层。</w:t>
      </w:r>
    </w:p>
    <w:p w14:paraId="051A438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A.改善土壤理化性质</w:t>
      </w:r>
    </w:p>
    <w:p w14:paraId="393B9A1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B.蓄水保墒</w:t>
      </w:r>
    </w:p>
    <w:p w14:paraId="5D8269D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C.改善营养条件</w:t>
      </w:r>
    </w:p>
    <w:p w14:paraId="324C668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D.降低土壤肥力</w:t>
      </w:r>
    </w:p>
    <w:p w14:paraId="142016A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 种植密度的确定原则包括（   ）。</w:t>
      </w:r>
    </w:p>
    <w:p w14:paraId="5CC208D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A.作物种类和品种类型</w:t>
      </w:r>
    </w:p>
    <w:p w14:paraId="06F087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B.气候条件和水胞条件</w:t>
      </w:r>
    </w:p>
    <w:p w14:paraId="73B9E52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C.管理水平</w:t>
      </w:r>
    </w:p>
    <w:p w14:paraId="038CA1E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D.种植方式</w:t>
      </w:r>
    </w:p>
    <w:p w14:paraId="40581E7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25.目前，营养液常用的铁源是（   ）。</w:t>
      </w:r>
    </w:p>
    <w:p w14:paraId="1BF0F1B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A.铁</w:t>
      </w:r>
    </w:p>
    <w:p w14:paraId="1157BB4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B.无机铁盐</w:t>
      </w:r>
    </w:p>
    <w:p w14:paraId="16730C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C.有机酸铁</w:t>
      </w:r>
    </w:p>
    <w:p w14:paraId="525FC02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D.螯合铁</w:t>
      </w:r>
    </w:p>
    <w:p w14:paraId="6F8D962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26.影响嫁接苗成活主要因素有（   ）。</w:t>
      </w:r>
    </w:p>
    <w:p w14:paraId="753F868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A.砧木与接穗的亲和力</w:t>
      </w:r>
    </w:p>
    <w:p w14:paraId="2DA5EE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B.砧木与接穗质量</w:t>
      </w:r>
    </w:p>
    <w:p w14:paraId="3B8DC9C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C.砧木与接穗的苗龄</w:t>
      </w:r>
    </w:p>
    <w:p w14:paraId="5068052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D.砧木与接穗切面结合紧密度</w:t>
      </w:r>
    </w:p>
    <w:p w14:paraId="6427D34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27.目前生产上应用广泛的蔬菜嫁接方法有(   )。</w:t>
      </w:r>
    </w:p>
    <w:p w14:paraId="2420541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A.靠接法</w:t>
      </w:r>
    </w:p>
    <w:p w14:paraId="743C5C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B.劈接法</w:t>
      </w:r>
    </w:p>
    <w:p w14:paraId="43792F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C.两段嫁接法</w:t>
      </w:r>
    </w:p>
    <w:p w14:paraId="48A0894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D.插接法</w:t>
      </w:r>
    </w:p>
    <w:p w14:paraId="4592AB8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28.蔬菜嫁接育苗用的营养土，下列选项中正确的有（   ）。</w:t>
      </w:r>
    </w:p>
    <w:p w14:paraId="6A852BA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A.富含有机质，营养成份齐全</w:t>
      </w:r>
    </w:p>
    <w:p w14:paraId="161E38D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B.土质疏松，透气性较好</w:t>
      </w:r>
    </w:p>
    <w:p w14:paraId="5C945F4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C.保肥保水能力强。</w:t>
      </w:r>
    </w:p>
    <w:p w14:paraId="2711A86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D.酸碱性pH 值为6.5～7.5</w:t>
      </w:r>
    </w:p>
    <w:p w14:paraId="659D734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29.以下对蔬菜插接法相关内容，描述正确的有（   ）。</w:t>
      </w:r>
    </w:p>
    <w:p w14:paraId="7001F7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A.蔬菜插接法是理想的防病嫁接法</w:t>
      </w:r>
    </w:p>
    <w:p w14:paraId="2114131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B.依据砧木苗茎上的插接位置不同，可分为顶端插接法和上部插接法</w:t>
      </w:r>
    </w:p>
    <w:p w14:paraId="09E9CEF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C.顶端插接法对蔬菜苗穗的大小要求不严格，适宜嫁接的时期较长</w:t>
      </w:r>
    </w:p>
    <w:p w14:paraId="375CF2B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D.顶端插接法是目前应用最为普遍的插接方法</w:t>
      </w:r>
    </w:p>
    <w:p w14:paraId="6E8BD6F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30.</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木质部的结构包括（  ）。</w:t>
      </w:r>
    </w:p>
    <w:p w14:paraId="51D706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A.导管</w:t>
      </w:r>
    </w:p>
    <w:p w14:paraId="229F141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B.筛管</w:t>
      </w:r>
    </w:p>
    <w:p w14:paraId="10B3110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C.木纤维</w:t>
      </w:r>
    </w:p>
    <w:p w14:paraId="53A0D4AB">
      <w:pPr>
        <w:spacing w:line="360" w:lineRule="auto"/>
        <w:ind w:firstLine="280" w:firstLineChars="100"/>
        <w:rPr>
          <w:rFonts w:ascii="仿宋_GB2312" w:hAnsi="仿宋_GB2312" w:eastAsia="仿宋_GB2312" w:cs="仿宋_GB2312"/>
          <w:sz w:val="28"/>
          <w:szCs w:val="28"/>
        </w:rPr>
      </w:pPr>
      <w:r>
        <w:rPr>
          <w:rFonts w:ascii="仿宋_GB2312" w:hAnsi="仿宋_GB2312" w:eastAsia="仿宋_GB2312" w:cs="仿宋_GB2312"/>
          <w:sz w:val="28"/>
          <w:szCs w:val="28"/>
        </w:rPr>
        <w:t>D</w:t>
      </w:r>
      <w:r>
        <w:rPr>
          <w:rFonts w:hint="eastAsia" w:ascii="仿宋_GB2312" w:hAnsi="仿宋_GB2312" w:eastAsia="仿宋_GB2312" w:cs="仿宋_GB2312"/>
          <w:sz w:val="28"/>
          <w:szCs w:val="28"/>
        </w:rPr>
        <w:t>．木薄壁细胞</w:t>
      </w:r>
    </w:p>
    <w:p w14:paraId="0A233BD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31.果菜类蔬菜提高商品性的综合措施有(   )。</w:t>
      </w:r>
    </w:p>
    <w:p w14:paraId="58BB3A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A.制定科学的生产管理方案</w:t>
      </w:r>
    </w:p>
    <w:p w14:paraId="3F71D7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B.不进行人工管理</w:t>
      </w:r>
    </w:p>
    <w:p w14:paraId="0736186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C.实行标准化生产</w:t>
      </w:r>
    </w:p>
    <w:p w14:paraId="443070D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D.实行商品化管理</w:t>
      </w:r>
    </w:p>
    <w:p w14:paraId="15B8050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32.蔬菜植株缺少（  ）元素，缺素症首先从下部老叶表现出来。</w:t>
      </w:r>
    </w:p>
    <w:p w14:paraId="283359C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A.钙</w:t>
      </w:r>
    </w:p>
    <w:p w14:paraId="3C50751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B.氮</w:t>
      </w:r>
    </w:p>
    <w:p w14:paraId="65C6C58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C.磷</w:t>
      </w:r>
    </w:p>
    <w:p w14:paraId="7EF143D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D.铁</w:t>
      </w:r>
    </w:p>
    <w:p w14:paraId="7B07EC6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33.喷施叶面肥能够（  ）。</w:t>
      </w:r>
    </w:p>
    <w:p w14:paraId="62B9591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A.控制水分</w:t>
      </w:r>
    </w:p>
    <w:p w14:paraId="10083F5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B.增加植株养分</w:t>
      </w:r>
    </w:p>
    <w:p w14:paraId="585B652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C.造成空气污染</w:t>
      </w:r>
    </w:p>
    <w:p w14:paraId="3439416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D.提高肥料利用率</w:t>
      </w:r>
    </w:p>
    <w:p w14:paraId="2202763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34.番茄春季大棚栽培壮苗标准是（  ）。</w:t>
      </w:r>
    </w:p>
    <w:p w14:paraId="123752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A.不徒长</w:t>
      </w:r>
    </w:p>
    <w:p w14:paraId="3E20D74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B.茎细</w:t>
      </w:r>
    </w:p>
    <w:p w14:paraId="4722B6E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C.节间较短</w:t>
      </w:r>
    </w:p>
    <w:p w14:paraId="1A729AC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D.植株健壮</w:t>
      </w:r>
    </w:p>
    <w:p w14:paraId="0DDE30B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35.蔬菜生长发育的三基点温度包括（   ）。</w:t>
      </w:r>
    </w:p>
    <w:p w14:paraId="7E7032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A.生长最低致死温度</w:t>
      </w:r>
    </w:p>
    <w:p w14:paraId="4CD9E48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B.生长最低温度</w:t>
      </w:r>
    </w:p>
    <w:p w14:paraId="41468DB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C.生长最适温度</w:t>
      </w:r>
    </w:p>
    <w:p w14:paraId="2B21A4E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D.生长最高温度</w:t>
      </w:r>
    </w:p>
    <w:p w14:paraId="6A24CDA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lang w:val="en-US" w:eastAsia="zh-CN"/>
        </w:rPr>
        <w:t>3</w:t>
      </w:r>
      <w:r>
        <w:rPr>
          <w:rFonts w:hint="eastAsia" w:ascii="仿宋_GB2312" w:eastAsia="仿宋_GB2312" w:cs="仿宋"/>
          <w:kern w:val="0"/>
          <w:sz w:val="28"/>
          <w:szCs w:val="28"/>
        </w:rPr>
        <w:t>6.在早春低温季节，水分管理是否适当是育苗成败的关键，要做到（   ）。</w:t>
      </w:r>
    </w:p>
    <w:p w14:paraId="2414411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A.底水多浇，苗水少浇</w:t>
      </w:r>
    </w:p>
    <w:p w14:paraId="1A068A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B.晴天多浇，阴天少浇</w:t>
      </w:r>
    </w:p>
    <w:p w14:paraId="4E78FA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C.风大多浇，风小少浇</w:t>
      </w:r>
    </w:p>
    <w:p w14:paraId="45F4057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D.温低多浇，温高少浇</w:t>
      </w:r>
    </w:p>
    <w:p w14:paraId="2ED6C6C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37.常见复合肥是指含有下列（  ）元素的肥料。</w:t>
      </w:r>
    </w:p>
    <w:p w14:paraId="4355771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A.氮</w:t>
      </w:r>
    </w:p>
    <w:p w14:paraId="5A13BE3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B.磷</w:t>
      </w:r>
    </w:p>
    <w:p w14:paraId="11DD4CC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C.钾</w:t>
      </w:r>
    </w:p>
    <w:p w14:paraId="28FAFC7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D.钙</w:t>
      </w:r>
    </w:p>
    <w:p w14:paraId="322ADDD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38.下列属于水溶性磷肥的有（   ）。</w:t>
      </w:r>
    </w:p>
    <w:p w14:paraId="66B0A7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A.过磷酸钙</w:t>
      </w:r>
    </w:p>
    <w:p w14:paraId="1785538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B.重过磷酸钙</w:t>
      </w:r>
    </w:p>
    <w:p w14:paraId="36A22B2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C.钙镁磷肥</w:t>
      </w:r>
    </w:p>
    <w:p w14:paraId="43A25AB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D.磷矿粉</w:t>
      </w:r>
    </w:p>
    <w:p w14:paraId="6C392BA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39.</w:t>
      </w:r>
      <w:r>
        <w:rPr>
          <w:rFonts w:hint="eastAsia" w:ascii="仿宋_GB2312" w:hAnsi="Calibri" w:eastAsia="仿宋_GB2312" w:cs="Times New Roman"/>
          <w:sz w:val="32"/>
          <w:szCs w:val="32"/>
        </w:rPr>
        <w:t xml:space="preserve"> </w:t>
      </w:r>
      <w:r>
        <w:rPr>
          <w:rFonts w:hint="eastAsia" w:ascii="仿宋_GB2312" w:eastAsia="仿宋_GB2312" w:cs="仿宋"/>
          <w:kern w:val="0"/>
          <w:sz w:val="28"/>
          <w:szCs w:val="28"/>
        </w:rPr>
        <w:t xml:space="preserve">植物合理灌溉的生理指标包括（    ）。 </w:t>
      </w:r>
    </w:p>
    <w:p w14:paraId="7F575A8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A.叶片渗透势     </w:t>
      </w:r>
    </w:p>
    <w:p w14:paraId="6D43B33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B.叶片水势       </w:t>
      </w:r>
    </w:p>
    <w:p w14:paraId="1F3508F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C.茎变色情况    </w:t>
      </w:r>
    </w:p>
    <w:p w14:paraId="0990B29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D.气孔开度</w:t>
      </w:r>
    </w:p>
    <w:p w14:paraId="0C12E08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40.下列属于硝态氮肥的为（   ）。</w:t>
      </w:r>
    </w:p>
    <w:p w14:paraId="274F6F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A.硝酸铵</w:t>
      </w:r>
    </w:p>
    <w:p w14:paraId="57CBDD8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B.硫酸铵</w:t>
      </w:r>
    </w:p>
    <w:p w14:paraId="29EE380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C.尿素</w:t>
      </w:r>
    </w:p>
    <w:p w14:paraId="559F599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D.硝酸钙</w:t>
      </w:r>
    </w:p>
    <w:p w14:paraId="75CDA12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41.有机肥的特点有(   )。</w:t>
      </w:r>
    </w:p>
    <w:p w14:paraId="4BC32D8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A.营养全面</w:t>
      </w:r>
    </w:p>
    <w:p w14:paraId="7434E7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B.增加土壤有机质含量</w:t>
      </w:r>
    </w:p>
    <w:p w14:paraId="1DB6F9B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C.促进蔬菜生长</w:t>
      </w:r>
    </w:p>
    <w:p w14:paraId="162774D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D.肥效迅速</w:t>
      </w:r>
    </w:p>
    <w:p w14:paraId="10CE79D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42.目前我国农业面临的环境问题有(   )。</w:t>
      </w:r>
    </w:p>
    <w:p w14:paraId="7F4EAB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A.大面积水土流失</w:t>
      </w:r>
    </w:p>
    <w:p w14:paraId="03FB29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B.沙漠化速度加快</w:t>
      </w:r>
    </w:p>
    <w:p w14:paraId="0845FF0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C.草原大面积退化</w:t>
      </w:r>
    </w:p>
    <w:p w14:paraId="7BEF2F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D.森林资源渔业资源衰退</w:t>
      </w:r>
    </w:p>
    <w:p w14:paraId="1896129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43.下列属于植物无性繁殖方式的是（   ）。</w:t>
      </w:r>
    </w:p>
    <w:p w14:paraId="455A5EF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A.嫁接  </w:t>
      </w:r>
    </w:p>
    <w:p w14:paraId="232AA4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B.根、茎类器官繁殖  </w:t>
      </w:r>
    </w:p>
    <w:p w14:paraId="58BBADC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C.体细胞组织培养</w:t>
      </w:r>
    </w:p>
    <w:p w14:paraId="1FACDBC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D.扦插</w:t>
      </w:r>
    </w:p>
    <w:p w14:paraId="50EB146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44.土壤中的有益菌类有（  ）。</w:t>
      </w:r>
    </w:p>
    <w:p w14:paraId="0EDB831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A.固氮菌</w:t>
      </w:r>
    </w:p>
    <w:p w14:paraId="6C49D04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B.氨化菌</w:t>
      </w:r>
    </w:p>
    <w:p w14:paraId="24F697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C.硝化菌</w:t>
      </w:r>
    </w:p>
    <w:p w14:paraId="527586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D.反硝化菌</w:t>
      </w:r>
    </w:p>
    <w:p w14:paraId="558002B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45.植物叶面积过大，容易造成</w:t>
      </w:r>
      <w:r>
        <w:rPr>
          <w:rFonts w:ascii="仿宋_GB2312" w:eastAsia="仿宋_GB2312" w:cs="仿宋"/>
          <w:kern w:val="0"/>
          <w:sz w:val="28"/>
          <w:szCs w:val="28"/>
        </w:rPr>
        <w:t xml:space="preserve">（ </w:t>
      </w:r>
      <w:r>
        <w:rPr>
          <w:rFonts w:hint="eastAsia" w:ascii="仿宋_GB2312" w:eastAsia="仿宋_GB2312" w:cs="仿宋"/>
          <w:kern w:val="0"/>
          <w:sz w:val="28"/>
          <w:szCs w:val="28"/>
        </w:rPr>
        <w:t xml:space="preserve">  </w:t>
      </w:r>
      <w:r>
        <w:rPr>
          <w:rFonts w:ascii="仿宋_GB2312" w:eastAsia="仿宋_GB2312" w:cs="仿宋"/>
          <w:kern w:val="0"/>
          <w:sz w:val="28"/>
          <w:szCs w:val="28"/>
        </w:rPr>
        <w:t>）</w:t>
      </w:r>
      <w:r>
        <w:rPr>
          <w:rFonts w:hint="eastAsia" w:ascii="仿宋_GB2312" w:eastAsia="仿宋_GB2312" w:cs="仿宋"/>
          <w:kern w:val="0"/>
          <w:sz w:val="28"/>
          <w:szCs w:val="28"/>
        </w:rPr>
        <w:t>等危害。</w:t>
      </w:r>
    </w:p>
    <w:p w14:paraId="570A4F6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A.田间光照弱 </w:t>
      </w:r>
    </w:p>
    <w:p w14:paraId="66721C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B.光能利用率过高  </w:t>
      </w:r>
    </w:p>
    <w:p w14:paraId="3CCF28E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C.植株倒伏     </w:t>
      </w:r>
    </w:p>
    <w:p w14:paraId="09EF47B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D.叶片早衰</w:t>
      </w:r>
    </w:p>
    <w:p w14:paraId="10C2B3B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46.下列条件哪些可以造成秧苗徒长（  ）。</w:t>
      </w:r>
    </w:p>
    <w:p w14:paraId="54341E8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A.密度过高</w:t>
      </w:r>
    </w:p>
    <w:p w14:paraId="40DA8A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B.光照不足</w:t>
      </w:r>
    </w:p>
    <w:p w14:paraId="3A6B540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C.氮肥过多</w:t>
      </w:r>
    </w:p>
    <w:p w14:paraId="36CD326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D.缺水</w:t>
      </w:r>
    </w:p>
    <w:p w14:paraId="11725C2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47.下列条件中可以造成僵苗的原因（  ）</w:t>
      </w:r>
    </w:p>
    <w:p w14:paraId="6CCF3FA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A.早春湿度较低</w:t>
      </w:r>
    </w:p>
    <w:p w14:paraId="3DBCCF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B.生长调节剂使用不当</w:t>
      </w:r>
    </w:p>
    <w:p w14:paraId="59509AC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C.土壤缺水干旱</w:t>
      </w:r>
    </w:p>
    <w:p w14:paraId="03B493D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D.早春温度较低</w:t>
      </w:r>
    </w:p>
    <w:p w14:paraId="362D639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48.哪些可以造成秧苗成苗率降低（  ）。</w:t>
      </w:r>
    </w:p>
    <w:p w14:paraId="73AF5F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A.浇水过多，基质过湿</w:t>
      </w:r>
    </w:p>
    <w:p w14:paraId="5CE636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B.播种过浅，戴帽出苗</w:t>
      </w:r>
    </w:p>
    <w:p w14:paraId="506BD1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C.浇水过少，基质过干</w:t>
      </w:r>
    </w:p>
    <w:p w14:paraId="7561B9C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D.温度适宜，光照充足</w:t>
      </w:r>
    </w:p>
    <w:p w14:paraId="1EB78E0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49.种子的播种品质包括（   ）。</w:t>
      </w:r>
    </w:p>
    <w:p w14:paraId="0B7D18F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A.净</w:t>
      </w:r>
    </w:p>
    <w:p w14:paraId="7E467B2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B.壮</w:t>
      </w:r>
    </w:p>
    <w:p w14:paraId="57206A7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C.饱</w:t>
      </w:r>
    </w:p>
    <w:p w14:paraId="47FDAA3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D.健</w:t>
      </w:r>
    </w:p>
    <w:p w14:paraId="2218405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50.配方施肥应考虑的主要因素有（   ）。</w:t>
      </w:r>
    </w:p>
    <w:p w14:paraId="3884F86D">
      <w:pPr>
        <w:spacing w:line="360" w:lineRule="auto"/>
        <w:ind w:firstLine="280" w:firstLineChars="100"/>
        <w:rPr>
          <w:rFonts w:ascii="仿宋_GB2312" w:hAnsi="仿宋_GB2312" w:eastAsia="仿宋_GB2312" w:cs="仿宋_GB2312"/>
          <w:sz w:val="28"/>
          <w:szCs w:val="28"/>
        </w:rPr>
      </w:pPr>
      <w:r>
        <w:rPr>
          <w:rFonts w:ascii="仿宋_GB2312" w:hAnsi="仿宋_GB2312" w:eastAsia="仿宋_GB2312" w:cs="仿宋_GB2312"/>
          <w:sz w:val="28"/>
          <w:szCs w:val="28"/>
        </w:rPr>
        <w:t>A</w:t>
      </w:r>
      <w:r>
        <w:rPr>
          <w:rFonts w:hint="eastAsia" w:ascii="仿宋_GB2312" w:hAnsi="仿宋_GB2312" w:eastAsia="仿宋_GB2312" w:cs="仿宋_GB2312"/>
          <w:sz w:val="28"/>
          <w:szCs w:val="28"/>
        </w:rPr>
        <w:t>．土壤供肥量</w:t>
      </w:r>
    </w:p>
    <w:p w14:paraId="4A24006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B.作物需肥量</w:t>
      </w:r>
    </w:p>
    <w:p w14:paraId="5E7833C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C.肥料利用率</w:t>
      </w:r>
    </w:p>
    <w:p w14:paraId="0526A1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D.施肥方法</w:t>
      </w:r>
    </w:p>
    <w:p w14:paraId="3057B67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51.幼苗在生长和运输的过程中，除受到各种病虫害的危害，还受到其他灾害，其中包括（   ）。</w:t>
      </w:r>
    </w:p>
    <w:p w14:paraId="5FFC4E8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A.药害</w:t>
      </w:r>
    </w:p>
    <w:p w14:paraId="0EC1B66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B.草害</w:t>
      </w:r>
    </w:p>
    <w:p w14:paraId="50A6408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C.运输中的秧苗障碍</w:t>
      </w:r>
    </w:p>
    <w:p w14:paraId="349355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D.肥害</w:t>
      </w:r>
    </w:p>
    <w:p w14:paraId="210BB2E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52.西瓜嫁接苗在愈合期的管理（  ）。</w:t>
      </w:r>
    </w:p>
    <w:p w14:paraId="12E8D81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A.嫁接后保持较常规育苗稍高的温度可以促进愈伤组织形成</w:t>
      </w:r>
    </w:p>
    <w:p w14:paraId="44EEA0E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B.全遮光8～10d，促使伤口愈合</w:t>
      </w:r>
    </w:p>
    <w:p w14:paraId="7086506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C.育苗基质的最大持水量在75%～80%为宜</w:t>
      </w:r>
    </w:p>
    <w:p w14:paraId="4126EA4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D.整个育苗期不需要进行通风</w:t>
      </w:r>
    </w:p>
    <w:p w14:paraId="51F0509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53.大棚建造地址应选择（   ）。</w:t>
      </w:r>
    </w:p>
    <w:p w14:paraId="487508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A.背风向阳地势平坦</w:t>
      </w:r>
    </w:p>
    <w:p w14:paraId="08DF62C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B.排灌方便</w:t>
      </w:r>
    </w:p>
    <w:p w14:paraId="647F743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C.土层深厚，土壤肥力中等以上</w:t>
      </w:r>
    </w:p>
    <w:p w14:paraId="16D0487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D.远离化工厂</w:t>
      </w:r>
    </w:p>
    <w:p w14:paraId="74FF6A3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54.从设施蔬菜的栽培形式(栽培季节)上看，有（   ）。</w:t>
      </w:r>
    </w:p>
    <w:p w14:paraId="65DD185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A.春提早栽培</w:t>
      </w:r>
    </w:p>
    <w:p w14:paraId="32ABD70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B.越夏避雨栽培</w:t>
      </w:r>
    </w:p>
    <w:p w14:paraId="3003DF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C.秋季延后栽培</w:t>
      </w:r>
    </w:p>
    <w:p w14:paraId="390D319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D.越冬栽培</w:t>
      </w:r>
    </w:p>
    <w:p w14:paraId="3A7856C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55.预防保护地内有害气体对作物造成伤害的措施有（   ）。</w:t>
      </w:r>
    </w:p>
    <w:p w14:paraId="6C570C5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A.选择专用、无毒棚膜</w:t>
      </w:r>
    </w:p>
    <w:p w14:paraId="34A7F8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B.及时放风</w:t>
      </w:r>
    </w:p>
    <w:p w14:paraId="5A6DE3D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C.肥料要充分腐熟</w:t>
      </w:r>
    </w:p>
    <w:p w14:paraId="4A0E052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D.注意施肥方法</w:t>
      </w:r>
    </w:p>
    <w:p w14:paraId="337CA73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56.控制植物成花的三个非常重要因素是（   ）。</w:t>
      </w:r>
    </w:p>
    <w:p w14:paraId="4F41E01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A.花的状态  </w:t>
      </w:r>
    </w:p>
    <w:p w14:paraId="0D5A6C8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B.低温</w:t>
      </w:r>
    </w:p>
    <w:p w14:paraId="775278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C.适宜的光周期</w:t>
      </w:r>
    </w:p>
    <w:p w14:paraId="26AF8F4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D.播种期的选择</w:t>
      </w:r>
    </w:p>
    <w:p w14:paraId="26EC70B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57.设施农业中，为减少光照，可采用的措施有（  ）。</w:t>
      </w:r>
    </w:p>
    <w:p w14:paraId="004140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A.覆盖遮阳物  </w:t>
      </w:r>
      <w:r>
        <w:rPr>
          <w:rFonts w:ascii="仿宋_GB2312" w:hAnsi="仿宋_GB2312" w:eastAsia="仿宋_GB2312" w:cs="仿宋_GB2312"/>
          <w:sz w:val="28"/>
          <w:szCs w:val="28"/>
        </w:rPr>
        <w:t xml:space="preserve"> </w:t>
      </w:r>
      <w:r>
        <w:rPr>
          <w:rFonts w:hint="eastAsia" w:ascii="仿宋_GB2312" w:hAnsi="仿宋_GB2312" w:eastAsia="仿宋_GB2312" w:cs="仿宋_GB2312"/>
          <w:sz w:val="28"/>
          <w:szCs w:val="28"/>
        </w:rPr>
        <w:t xml:space="preserve"> </w:t>
      </w:r>
    </w:p>
    <w:p w14:paraId="5BB9C8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B.玻璃面涂白     </w:t>
      </w:r>
    </w:p>
    <w:p w14:paraId="02EA29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C.屋面流水  </w:t>
      </w:r>
      <w:r>
        <w:rPr>
          <w:rFonts w:ascii="仿宋_GB2312" w:hAnsi="仿宋_GB2312" w:eastAsia="仿宋_GB2312" w:cs="仿宋_GB2312"/>
          <w:sz w:val="28"/>
          <w:szCs w:val="28"/>
        </w:rPr>
        <w:t xml:space="preserve"> </w:t>
      </w:r>
      <w:r>
        <w:rPr>
          <w:rFonts w:hint="eastAsia" w:ascii="仿宋_GB2312" w:hAnsi="仿宋_GB2312" w:eastAsia="仿宋_GB2312" w:cs="仿宋_GB2312"/>
          <w:sz w:val="28"/>
          <w:szCs w:val="28"/>
        </w:rPr>
        <w:t xml:space="preserve"> </w:t>
      </w:r>
    </w:p>
    <w:p w14:paraId="0D5639F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D.铺反光膜</w:t>
      </w:r>
    </w:p>
    <w:p w14:paraId="7166C40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58.秧苗猝倒病的表现（   ）。</w:t>
      </w:r>
    </w:p>
    <w:p w14:paraId="12FD4DA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A.幼苗出土前易造成烂种、烂芽</w:t>
      </w:r>
    </w:p>
    <w:p w14:paraId="6636AD1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B.幼苗出土后染病则表现茎基部初呈水浸状，很快褪绿变黄呈黄褐色</w:t>
      </w:r>
    </w:p>
    <w:p w14:paraId="0B7C33B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C.茎基部干枯，但不倒伏</w:t>
      </w:r>
    </w:p>
    <w:p w14:paraId="63DF6C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D.病斑绕茎一周使茎缢缩呈线状，幼苗失去支撑折倒在地</w:t>
      </w:r>
    </w:p>
    <w:p w14:paraId="4612C63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59.影响种子吸水的因素有（   ）。</w:t>
      </w:r>
    </w:p>
    <w:p w14:paraId="1543B26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A.化学成分</w:t>
      </w:r>
    </w:p>
    <w:p w14:paraId="5099A67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B.种皮透性</w:t>
      </w:r>
    </w:p>
    <w:p w14:paraId="3809A17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C.外界水分</w:t>
      </w:r>
    </w:p>
    <w:p w14:paraId="5ABC12F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D.温度</w:t>
      </w:r>
    </w:p>
    <w:p w14:paraId="35D3FE8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60.塑料大棚的骨架主要由（   ）组成。</w:t>
      </w:r>
    </w:p>
    <w:p w14:paraId="5FF1B9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A.立柱</w:t>
      </w:r>
    </w:p>
    <w:p w14:paraId="7ED2A2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B.拱杆</w:t>
      </w:r>
    </w:p>
    <w:p w14:paraId="1BC6F9E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C.拉杆</w:t>
      </w:r>
    </w:p>
    <w:p w14:paraId="2493295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D.压杆</w:t>
      </w:r>
    </w:p>
    <w:p w14:paraId="6D8BB19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61.植株调整的主要作用包括哪些（   ）。</w:t>
      </w:r>
    </w:p>
    <w:p w14:paraId="630A73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A.防止植物徒长</w:t>
      </w:r>
    </w:p>
    <w:p w14:paraId="1A56AB8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B.利于通风透光</w:t>
      </w:r>
    </w:p>
    <w:p w14:paraId="000ABC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C.减少病害</w:t>
      </w:r>
    </w:p>
    <w:p w14:paraId="38BF200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D.减少产量</w:t>
      </w:r>
    </w:p>
    <w:p w14:paraId="44083FC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62.葡萄育苗主要采用两种繁育方法，即（   ）。</w:t>
      </w:r>
    </w:p>
    <w:p w14:paraId="4C7C070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A.播种            </w:t>
      </w:r>
    </w:p>
    <w:p w14:paraId="79A67AB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B.分株            </w:t>
      </w:r>
    </w:p>
    <w:p w14:paraId="669080A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C.扦插              </w:t>
      </w:r>
    </w:p>
    <w:p w14:paraId="4E49C81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D.压条</w:t>
      </w:r>
    </w:p>
    <w:p w14:paraId="2B58035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63.哪些可以造成秧苗叶色失常（   ）。</w:t>
      </w:r>
    </w:p>
    <w:p w14:paraId="1A88CE9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A.缺氮引起叶色偏暗</w:t>
      </w:r>
    </w:p>
    <w:p w14:paraId="17837D6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B.缺钾引起下部叶片黄化</w:t>
      </w:r>
    </w:p>
    <w:p w14:paraId="789997E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C.pH 不适引起叶片黄化</w:t>
      </w:r>
    </w:p>
    <w:p w14:paraId="515621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D.缺铁引起新叶黄化</w:t>
      </w:r>
    </w:p>
    <w:p w14:paraId="795DB16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64.枣是对温度、土壤适应性较强的一种果木，繁殖方法主要是（   ）。</w:t>
      </w:r>
    </w:p>
    <w:p w14:paraId="6A10331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A.分株法          </w:t>
      </w:r>
    </w:p>
    <w:p w14:paraId="02A6737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B.嫁接法          </w:t>
      </w:r>
    </w:p>
    <w:p w14:paraId="7F78EED6">
      <w:pPr>
        <w:spacing w:line="360" w:lineRule="auto"/>
        <w:ind w:firstLine="280" w:firstLineChars="100"/>
        <w:rPr>
          <w:rFonts w:ascii="仿宋_GB2312" w:eastAsia="仿宋_GB2312" w:cs="仿宋"/>
          <w:kern w:val="0"/>
          <w:sz w:val="28"/>
          <w:szCs w:val="28"/>
        </w:rPr>
      </w:pPr>
      <w:r>
        <w:rPr>
          <w:rFonts w:hint="eastAsia" w:ascii="仿宋_GB2312" w:hAnsi="仿宋_GB2312" w:eastAsia="仿宋_GB2312" w:cs="仿宋_GB2312"/>
          <w:sz w:val="28"/>
          <w:szCs w:val="28"/>
        </w:rPr>
        <w:t xml:space="preserve">C.压条法          </w:t>
      </w:r>
      <w:r>
        <w:rPr>
          <w:rFonts w:hint="eastAsia" w:ascii="仿宋_GB2312" w:eastAsia="仿宋_GB2312" w:cs="仿宋"/>
          <w:kern w:val="0"/>
          <w:sz w:val="28"/>
          <w:szCs w:val="28"/>
        </w:rPr>
        <w:t xml:space="preserve">  </w:t>
      </w:r>
    </w:p>
    <w:p w14:paraId="1AB47DC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D.扦插法</w:t>
      </w:r>
    </w:p>
    <w:p w14:paraId="74DA6FA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65.下列选项中属于蔬菜外观商品质量内容的有（   ）。</w:t>
      </w:r>
    </w:p>
    <w:p w14:paraId="6310478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A.颜色</w:t>
      </w:r>
    </w:p>
    <w:p w14:paraId="1B12EAE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B.大小</w:t>
      </w:r>
    </w:p>
    <w:p w14:paraId="23B56C9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C.形状</w:t>
      </w:r>
    </w:p>
    <w:p w14:paraId="1621C6C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D.整齐度</w:t>
      </w:r>
    </w:p>
    <w:p w14:paraId="7006736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66.</w:t>
      </w:r>
      <w:r>
        <w:rPr>
          <w:rFonts w:hint="eastAsia"/>
        </w:rPr>
        <w:t xml:space="preserve"> </w:t>
      </w:r>
      <w:r>
        <w:rPr>
          <w:rFonts w:hint="eastAsia" w:ascii="仿宋_GB2312" w:eastAsia="仿宋_GB2312" w:cs="仿宋"/>
          <w:kern w:val="0"/>
          <w:sz w:val="28"/>
          <w:szCs w:val="28"/>
        </w:rPr>
        <w:t>核桃通过嫁接繁殖其优点是（   ）。</w:t>
      </w:r>
    </w:p>
    <w:p w14:paraId="524453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A.结果早          </w:t>
      </w:r>
    </w:p>
    <w:p w14:paraId="6AB6DFA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B.保持优良性状    </w:t>
      </w:r>
    </w:p>
    <w:p w14:paraId="1796EF7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C.树体高大          </w:t>
      </w:r>
    </w:p>
    <w:p w14:paraId="1FEA6C1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D.寿命长</w:t>
      </w:r>
    </w:p>
    <w:p w14:paraId="28B1357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67.与土壤温度相关的土壤因素主要包括下列(    )。</w:t>
      </w:r>
    </w:p>
    <w:p w14:paraId="49BA42A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A.土壤导热率</w:t>
      </w:r>
    </w:p>
    <w:p w14:paraId="12FF832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B.地表覆盖物</w:t>
      </w:r>
    </w:p>
    <w:p w14:paraId="6DF3232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C.土壤含水量</w:t>
      </w:r>
    </w:p>
    <w:p w14:paraId="303CD6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D.土壤质地</w:t>
      </w:r>
    </w:p>
    <w:p w14:paraId="551389D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68.核桃砧木培育播种时间分为两时间，即（   ）。</w:t>
      </w:r>
    </w:p>
    <w:p w14:paraId="433769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A.夏播            </w:t>
      </w:r>
    </w:p>
    <w:p w14:paraId="71C803F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B.秋播            </w:t>
      </w:r>
    </w:p>
    <w:p w14:paraId="2DEC886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C.春播              </w:t>
      </w:r>
    </w:p>
    <w:p w14:paraId="09FE242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D.冬播</w:t>
      </w:r>
    </w:p>
    <w:p w14:paraId="30A0ED7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69.西瓜嫁接的目的有（   ）。</w:t>
      </w:r>
    </w:p>
    <w:p w14:paraId="0C1E146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A.解决连作障碍</w:t>
      </w:r>
    </w:p>
    <w:p w14:paraId="28897E1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B.提高抗病能力</w:t>
      </w:r>
    </w:p>
    <w:p w14:paraId="3DAFBE4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C.降低抗寒能力</w:t>
      </w:r>
    </w:p>
    <w:p w14:paraId="2B228F6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D.提高产量</w:t>
      </w:r>
    </w:p>
    <w:p w14:paraId="20BEA7D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70.核桃树的整形修剪形式通常有两种，它们分别是（   ）。</w:t>
      </w:r>
    </w:p>
    <w:p w14:paraId="273D163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A.圆锥形          </w:t>
      </w:r>
    </w:p>
    <w:p w14:paraId="5F2F023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B.多主枝自然形    </w:t>
      </w:r>
    </w:p>
    <w:p w14:paraId="1E5115C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C.自然开心形        </w:t>
      </w:r>
    </w:p>
    <w:p w14:paraId="359AF09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D.疏层形</w:t>
      </w:r>
    </w:p>
    <w:p w14:paraId="180AE31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71.岩棉育苗优点（   ）</w:t>
      </w:r>
    </w:p>
    <w:p w14:paraId="2886BE9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A.可以为秧苗根系创造一个稳定的生长环境，受外界影响较小</w:t>
      </w:r>
    </w:p>
    <w:p w14:paraId="19893D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B.减少土传的病害</w:t>
      </w:r>
    </w:p>
    <w:p w14:paraId="231F9FE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C.不能再次利用，再次利用有病菌</w:t>
      </w:r>
    </w:p>
    <w:p w14:paraId="2D53EA9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D.营养液供应次数可以大大减少，不受停电停水的限制，节省水电</w:t>
      </w:r>
    </w:p>
    <w:p w14:paraId="76CF0E9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72.石榴育苗的方法主要是（  ）。</w:t>
      </w:r>
    </w:p>
    <w:p w14:paraId="380143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A.嫁接繁殖        </w:t>
      </w:r>
    </w:p>
    <w:p w14:paraId="5ECCB96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B.扦插繁殖        </w:t>
      </w:r>
    </w:p>
    <w:p w14:paraId="6C7DF0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C.分株繁殖          </w:t>
      </w:r>
    </w:p>
    <w:p w14:paraId="70FFF69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D.压条繁殖</w:t>
      </w:r>
    </w:p>
    <w:p w14:paraId="7718330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73.果菜类蔬菜苗期易出现沤根现象，沤根苗在茎基部和根部发生（  ）。</w:t>
      </w:r>
    </w:p>
    <w:p w14:paraId="17362B4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A.不长新根</w:t>
      </w:r>
    </w:p>
    <w:p w14:paraId="7198325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B.幼根外皮逐渐腐朽</w:t>
      </w:r>
    </w:p>
    <w:p w14:paraId="1B9D48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C.白色霉状物</w:t>
      </w:r>
    </w:p>
    <w:p w14:paraId="2E75BE3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D.黑色霉状物</w:t>
      </w:r>
    </w:p>
    <w:p w14:paraId="6DFDF1D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74.山楂播种育苗时，由于种子的种皮坚硬，为提高其出芽率，可采用两种处理方法，即（   ）。</w:t>
      </w:r>
    </w:p>
    <w:p w14:paraId="1A04F0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A.层积处理        </w:t>
      </w:r>
    </w:p>
    <w:p w14:paraId="72E1F3A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B.冷热处理        </w:t>
      </w:r>
    </w:p>
    <w:p w14:paraId="3B3D73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C.浓硫酸处理       </w:t>
      </w:r>
    </w:p>
    <w:p w14:paraId="7600D82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D.催芽处理</w:t>
      </w:r>
    </w:p>
    <w:p w14:paraId="4CF6454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75.常见的播种方法有撒播、条播、点播，主要用于点播的作物有（   ）。</w:t>
      </w:r>
    </w:p>
    <w:p w14:paraId="722B756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A.西瓜</w:t>
      </w:r>
    </w:p>
    <w:p w14:paraId="70214E1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B.葫芦</w:t>
      </w:r>
    </w:p>
    <w:p w14:paraId="59BFF21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C.南瓜</w:t>
      </w:r>
    </w:p>
    <w:p w14:paraId="7DC18F4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D.番茄</w:t>
      </w:r>
    </w:p>
    <w:p w14:paraId="0CF3464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76.果树生产包括果树（  ）、运输和销售等环节。</w:t>
      </w:r>
    </w:p>
    <w:p w14:paraId="768306E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A.育苗            </w:t>
      </w:r>
    </w:p>
    <w:p w14:paraId="615D7C3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B.栽培             </w:t>
      </w:r>
    </w:p>
    <w:p w14:paraId="4106832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C.贮藏             </w:t>
      </w:r>
    </w:p>
    <w:p w14:paraId="5471AD9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D.加工</w:t>
      </w:r>
    </w:p>
    <w:p w14:paraId="7BD172F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77.根据对温度要求的不同，可以将蔬菜分为（   ）。</w:t>
      </w:r>
    </w:p>
    <w:p w14:paraId="1F93173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A.耐寒性蔬菜</w:t>
      </w:r>
    </w:p>
    <w:p w14:paraId="03F8772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B.半耐寒性蔬菜</w:t>
      </w:r>
    </w:p>
    <w:p w14:paraId="628C672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C.喜温性蔬菜</w:t>
      </w:r>
    </w:p>
    <w:p w14:paraId="465DFFA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D.耐热性蔬菜</w:t>
      </w:r>
    </w:p>
    <w:p w14:paraId="1ED4FF2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78.果树嫁接的方法很多，常见的有（  ）。</w:t>
      </w:r>
    </w:p>
    <w:p w14:paraId="40B8DD6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A.枝接            </w:t>
      </w:r>
    </w:p>
    <w:p w14:paraId="52E0170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B.芽接              </w:t>
      </w:r>
    </w:p>
    <w:p w14:paraId="66C0C8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C.靠接            </w:t>
      </w:r>
    </w:p>
    <w:p w14:paraId="481B7D3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D.根接</w:t>
      </w:r>
    </w:p>
    <w:p w14:paraId="289EFF6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79.黄瓜苗期管理主要包括(   )等方面。</w:t>
      </w:r>
    </w:p>
    <w:p w14:paraId="0AAC1B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A.温度控制</w:t>
      </w:r>
    </w:p>
    <w:p w14:paraId="02B6DB5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B.光照控制</w:t>
      </w:r>
    </w:p>
    <w:p w14:paraId="2EE04D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C.水分管理</w:t>
      </w:r>
    </w:p>
    <w:p w14:paraId="3C05065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D.肥料管理</w:t>
      </w:r>
    </w:p>
    <w:p w14:paraId="3CD24ED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80.果园水分灌溉的方法常用的有（    ）。</w:t>
      </w:r>
    </w:p>
    <w:p w14:paraId="07A326B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A.沟灌            </w:t>
      </w:r>
    </w:p>
    <w:p w14:paraId="2060292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B.喷灌              </w:t>
      </w:r>
    </w:p>
    <w:p w14:paraId="395078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C.滴灌             </w:t>
      </w:r>
    </w:p>
    <w:p w14:paraId="354C3CB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D.漫灌</w:t>
      </w:r>
      <w:r>
        <w:rPr>
          <w:rFonts w:ascii="仿宋_GB2312" w:hAnsi="仿宋_GB2312" w:eastAsia="仿宋_GB2312" w:cs="仿宋_GB2312"/>
          <w:sz w:val="28"/>
          <w:szCs w:val="28"/>
        </w:rPr>
        <w:t xml:space="preserve"> </w:t>
      </w:r>
    </w:p>
    <w:p w14:paraId="051A22B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81.下列属于有机肥的有（   ）。</w:t>
      </w:r>
    </w:p>
    <w:p w14:paraId="1524C1B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A.人粪尿</w:t>
      </w:r>
    </w:p>
    <w:p w14:paraId="195B58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B.化肥</w:t>
      </w:r>
    </w:p>
    <w:p w14:paraId="68016B0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C.绿肥</w:t>
      </w:r>
    </w:p>
    <w:p w14:paraId="65F637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D.堆肥</w:t>
      </w:r>
    </w:p>
    <w:p w14:paraId="30DE275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82.果树自根苗培育的方法，包括（   ）三种。</w:t>
      </w:r>
    </w:p>
    <w:p w14:paraId="222E452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A.嫁接            </w:t>
      </w:r>
    </w:p>
    <w:p w14:paraId="76EDF8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B.扦插              </w:t>
      </w:r>
    </w:p>
    <w:p w14:paraId="2C44D27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C.压条             </w:t>
      </w:r>
    </w:p>
    <w:p w14:paraId="097C38C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D.分株</w:t>
      </w:r>
    </w:p>
    <w:p w14:paraId="2F81921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83.植物生理性病害无传染性，亦称非传染性病害，多由（  ）。</w:t>
      </w:r>
    </w:p>
    <w:p w14:paraId="154B06F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A.水分的过多或过少</w:t>
      </w:r>
    </w:p>
    <w:p w14:paraId="10C6057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B.温度过高或过低</w:t>
      </w:r>
    </w:p>
    <w:p w14:paraId="36CC910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C.日光过强或过弱</w:t>
      </w:r>
    </w:p>
    <w:p w14:paraId="0A5C6D2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D.种子遗传基因发生变异</w:t>
      </w:r>
    </w:p>
    <w:p w14:paraId="2542DBE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84.葡萄扦插的方法常用的有两种，即（    ）。</w:t>
      </w:r>
    </w:p>
    <w:p w14:paraId="6185F39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A.根插           </w:t>
      </w:r>
    </w:p>
    <w:p w14:paraId="19B43E0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B.硬枝扦插        </w:t>
      </w:r>
    </w:p>
    <w:p w14:paraId="5B3FB0B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C.叶插     </w:t>
      </w:r>
    </w:p>
    <w:p w14:paraId="09CA6E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D.绿枝（嫩枝）扦插</w:t>
      </w:r>
    </w:p>
    <w:p w14:paraId="4152D5D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85.秧苗烧根的表现（   ）。</w:t>
      </w:r>
    </w:p>
    <w:p w14:paraId="6626AD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A.根尖发黄，须根少而短</w:t>
      </w:r>
    </w:p>
    <w:p w14:paraId="6D0E5F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B.不发根或很少发须根</w:t>
      </w:r>
    </w:p>
    <w:p w14:paraId="5D16D4C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C.茎叶生长缓慢</w:t>
      </w:r>
    </w:p>
    <w:p w14:paraId="46C9CFD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D.顶叶皱缩</w:t>
      </w:r>
    </w:p>
    <w:p w14:paraId="294CFF9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86.影响果树根系生长的因素主要是（  ）。</w:t>
      </w:r>
    </w:p>
    <w:p w14:paraId="5B97224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A.有机物          </w:t>
      </w:r>
    </w:p>
    <w:p w14:paraId="0DCBD7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B.温度            </w:t>
      </w:r>
    </w:p>
    <w:p w14:paraId="360852D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C.水分              </w:t>
      </w:r>
    </w:p>
    <w:p w14:paraId="253AC1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D.空气</w:t>
      </w:r>
    </w:p>
    <w:p w14:paraId="0FF2E83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87.下列属于热性肥料的有(   )</w:t>
      </w:r>
    </w:p>
    <w:p w14:paraId="177B20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A.人粪尿</w:t>
      </w:r>
    </w:p>
    <w:p w14:paraId="211D520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B.马粪</w:t>
      </w:r>
    </w:p>
    <w:p w14:paraId="09FDD69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C.羊粪</w:t>
      </w:r>
    </w:p>
    <w:p w14:paraId="1164061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D.秸秆堆肥</w:t>
      </w:r>
    </w:p>
    <w:p w14:paraId="6D945A0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88.柑桔嫁接的方法主要有（   ）。</w:t>
      </w:r>
    </w:p>
    <w:p w14:paraId="5EFB44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A.切接           </w:t>
      </w:r>
    </w:p>
    <w:p w14:paraId="00C77D9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B.芽接            </w:t>
      </w:r>
    </w:p>
    <w:p w14:paraId="4A358AC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C.腹接               </w:t>
      </w:r>
    </w:p>
    <w:p w14:paraId="32EA06B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D.靠接</w:t>
      </w:r>
    </w:p>
    <w:p w14:paraId="66D6637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89.铵态氮肥的主要性状包括（   ）。</w:t>
      </w:r>
    </w:p>
    <w:p w14:paraId="3A0C0D3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A.易溶于水</w:t>
      </w:r>
    </w:p>
    <w:p w14:paraId="592B4C7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B.不易流失</w:t>
      </w:r>
    </w:p>
    <w:p w14:paraId="50406C1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C.碱性环境中能释放氨气</w:t>
      </w:r>
    </w:p>
    <w:p w14:paraId="7A2BB4C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D.不能在潮湿环境中存放</w:t>
      </w:r>
    </w:p>
    <w:p w14:paraId="69B1817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90.当前荔枝生产最多的省份是（   ）。</w:t>
      </w:r>
    </w:p>
    <w:p w14:paraId="3317250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A.广东           </w:t>
      </w:r>
    </w:p>
    <w:p w14:paraId="206F42C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B.广西            </w:t>
      </w:r>
    </w:p>
    <w:p w14:paraId="2A969B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C.福建               </w:t>
      </w:r>
    </w:p>
    <w:p w14:paraId="3FB863D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D.台湾</w:t>
      </w:r>
    </w:p>
    <w:p w14:paraId="1311FF8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91.黄瓜嫁接常用砧木主要有（   ）。</w:t>
      </w:r>
    </w:p>
    <w:p w14:paraId="4EE0C37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A.黑籽南瓜</w:t>
      </w:r>
    </w:p>
    <w:p w14:paraId="3EE544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B.中国南瓜</w:t>
      </w:r>
    </w:p>
    <w:p w14:paraId="0C6E140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C.杂种南瓜</w:t>
      </w:r>
    </w:p>
    <w:p w14:paraId="5268E77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D.印度南瓜</w:t>
      </w:r>
    </w:p>
    <w:p w14:paraId="0A05E07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92.荔枝育苗主要采用（  ）。</w:t>
      </w:r>
    </w:p>
    <w:p w14:paraId="57F71E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A.高空压条       </w:t>
      </w:r>
    </w:p>
    <w:p w14:paraId="5973790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B.嫁接            </w:t>
      </w:r>
    </w:p>
    <w:p w14:paraId="4AAF2F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C.扦插               </w:t>
      </w:r>
    </w:p>
    <w:p w14:paraId="4B6D6CD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D.播种</w:t>
      </w:r>
    </w:p>
    <w:p w14:paraId="06C1707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93.西瓜砧木主要有（  ）。</w:t>
      </w:r>
    </w:p>
    <w:p w14:paraId="380490A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A.葫芦</w:t>
      </w:r>
    </w:p>
    <w:p w14:paraId="4D58128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B.南瓜</w:t>
      </w:r>
    </w:p>
    <w:p w14:paraId="4C6DB8F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C.甜瓜</w:t>
      </w:r>
    </w:p>
    <w:p w14:paraId="12DE8D5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D.野生西瓜</w:t>
      </w:r>
    </w:p>
    <w:p w14:paraId="5792B78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94.枇杷繁殖可以采用（  ）等几种方法。</w:t>
      </w:r>
    </w:p>
    <w:p w14:paraId="3829CB8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A.扦插           </w:t>
      </w:r>
    </w:p>
    <w:p w14:paraId="7CF82B6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B.播种            </w:t>
      </w:r>
    </w:p>
    <w:p w14:paraId="50E376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C.嫁接               </w:t>
      </w:r>
    </w:p>
    <w:p w14:paraId="3D1FAA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D.高压</w:t>
      </w:r>
    </w:p>
    <w:p w14:paraId="2F5FDA0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95.防止秧苗风干的措施（   ）。</w:t>
      </w:r>
    </w:p>
    <w:p w14:paraId="761389E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A.保水剂的应用</w:t>
      </w:r>
    </w:p>
    <w:p w14:paraId="12DF30A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B.育苗期喷施植物生长调节剂</w:t>
      </w:r>
    </w:p>
    <w:p w14:paraId="271883A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C.抗蒸腾剂的应用</w:t>
      </w:r>
    </w:p>
    <w:p w14:paraId="4BB1805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D.给水与防风</w:t>
      </w:r>
    </w:p>
    <w:p w14:paraId="0EFF264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96.芒果为著名的热带、亚热带水果，具有（  ）等优点。</w:t>
      </w:r>
    </w:p>
    <w:p w14:paraId="58FF40E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A.适应性广、速生易长                 </w:t>
      </w:r>
    </w:p>
    <w:p w14:paraId="07A2E60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B.结果早、寿命长</w:t>
      </w:r>
    </w:p>
    <w:p w14:paraId="31872B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C.栽培管理容易                       </w:t>
      </w:r>
    </w:p>
    <w:p w14:paraId="089CDE9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D.花果期抗逆性强</w:t>
      </w:r>
    </w:p>
    <w:p w14:paraId="2CCF3B6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97.蔬菜苗期常见虫害有（  ）等。</w:t>
      </w:r>
    </w:p>
    <w:p w14:paraId="1291627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A.地老虎</w:t>
      </w:r>
    </w:p>
    <w:p w14:paraId="112AE79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B.地蛆</w:t>
      </w:r>
    </w:p>
    <w:p w14:paraId="058966E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C.蛴螬</w:t>
      </w:r>
    </w:p>
    <w:p w14:paraId="1D8275F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D.野蛞蝓</w:t>
      </w:r>
    </w:p>
    <w:p w14:paraId="13D7B5F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98.芒果嫁接的方法有（   ）。</w:t>
      </w:r>
    </w:p>
    <w:p w14:paraId="0110A70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A.芽接          </w:t>
      </w:r>
    </w:p>
    <w:p w14:paraId="02631A4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B.枝接             </w:t>
      </w:r>
    </w:p>
    <w:p w14:paraId="5645D74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C.胚接               </w:t>
      </w:r>
    </w:p>
    <w:p w14:paraId="062ECB6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D.靠接</w:t>
      </w:r>
    </w:p>
    <w:p w14:paraId="7A380F0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99.浸种是将种子在一定水温下浸泡若干时间的过程，主要作用有（ ）。</w:t>
      </w:r>
    </w:p>
    <w:p w14:paraId="061E57C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A.打破种子休眠</w:t>
      </w:r>
    </w:p>
    <w:p w14:paraId="46297BE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B.提高种子温度</w:t>
      </w:r>
    </w:p>
    <w:p w14:paraId="6F14152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C.杀菌</w:t>
      </w:r>
    </w:p>
    <w:p w14:paraId="7B169A7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D.促进种子发芽</w:t>
      </w:r>
    </w:p>
    <w:p w14:paraId="2F8D49F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100.枣树繁殖主要采用（   ）。</w:t>
      </w:r>
    </w:p>
    <w:p w14:paraId="48E89AF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A.分株          </w:t>
      </w:r>
    </w:p>
    <w:p w14:paraId="0CDBB89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B.嫁接              </w:t>
      </w:r>
    </w:p>
    <w:p w14:paraId="4F33003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C.根插              </w:t>
      </w:r>
    </w:p>
    <w:p w14:paraId="0522E82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D.播种</w:t>
      </w:r>
    </w:p>
    <w:p w14:paraId="320D82D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101.下列指标中能反映种子质量指标主要有（   ）。</w:t>
      </w:r>
    </w:p>
    <w:p w14:paraId="39C54E8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A.种子纯度</w:t>
      </w:r>
    </w:p>
    <w:p w14:paraId="37B2B07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B.种子净度</w:t>
      </w:r>
    </w:p>
    <w:p w14:paraId="2F324E1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C.种子含水量</w:t>
      </w:r>
    </w:p>
    <w:p w14:paraId="11BBB28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D.种子发芽率</w:t>
      </w:r>
    </w:p>
    <w:p w14:paraId="7794711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102.下列果树属于雌雄同株的是（   ）。</w:t>
      </w:r>
    </w:p>
    <w:p w14:paraId="14E04D1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A.柿树          </w:t>
      </w:r>
    </w:p>
    <w:p w14:paraId="3C0C41A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B.胡桃              </w:t>
      </w:r>
    </w:p>
    <w:p w14:paraId="79BC169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C.银杏              </w:t>
      </w:r>
    </w:p>
    <w:p w14:paraId="43D8CA8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D.长山核桃</w:t>
      </w:r>
    </w:p>
    <w:p w14:paraId="72C1A9D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103.无土栽培是指不用天然土壤，而用营养液来提供植物生长所需的（  ）来种植植物的方法。</w:t>
      </w:r>
    </w:p>
    <w:p w14:paraId="1B06E2B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A.养分</w:t>
      </w:r>
    </w:p>
    <w:p w14:paraId="315232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B.水分</w:t>
      </w:r>
    </w:p>
    <w:p w14:paraId="3AD4366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C.氧气</w:t>
      </w:r>
    </w:p>
    <w:p w14:paraId="6269A53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D.基质</w:t>
      </w:r>
    </w:p>
    <w:p w14:paraId="3BE1858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104.下列果树果实类型属于复果的是（  ）。</w:t>
      </w:r>
    </w:p>
    <w:p w14:paraId="4EC234D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A.草莓         </w:t>
      </w:r>
    </w:p>
    <w:p w14:paraId="2BBA306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B.柑橘              </w:t>
      </w:r>
    </w:p>
    <w:p w14:paraId="42C013A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C.无花果            </w:t>
      </w:r>
    </w:p>
    <w:p w14:paraId="0E50E8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D.桑果</w:t>
      </w:r>
    </w:p>
    <w:p w14:paraId="3A2B67D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105.在种植植物过程中，引起营养液酸碱度变化的原因有（  ）。</w:t>
      </w:r>
    </w:p>
    <w:p w14:paraId="381641F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A.营养液中生理酸性盐和生理碱性盐的用量和比例不同</w:t>
      </w:r>
    </w:p>
    <w:p w14:paraId="217A5B6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B.每株植物所占有营养液体积的大小不同</w:t>
      </w:r>
    </w:p>
    <w:p w14:paraId="7AD85F2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C.营养液的更换频率</w:t>
      </w:r>
    </w:p>
    <w:p w14:paraId="2AB4119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D.配制营养液的水质</w:t>
      </w:r>
    </w:p>
    <w:p w14:paraId="0952C00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106.发芽困难的果树种子播种前进行的预处理方法包含（   ）。</w:t>
      </w:r>
    </w:p>
    <w:p w14:paraId="0CA7BE2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A.浸水法        </w:t>
      </w:r>
    </w:p>
    <w:p w14:paraId="5A29713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B.贮藏法            </w:t>
      </w:r>
    </w:p>
    <w:p w14:paraId="5750B7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C.药剂法          </w:t>
      </w:r>
    </w:p>
    <w:p w14:paraId="15B6764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D.外壳破碎法</w:t>
      </w:r>
    </w:p>
    <w:p w14:paraId="1934D5F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107.在蔬菜生产上，应用嫁接育苗较多的蔬菜种类有(   )</w:t>
      </w:r>
    </w:p>
    <w:p w14:paraId="2839188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A.番茄</w:t>
      </w:r>
    </w:p>
    <w:p w14:paraId="4998D6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B.茄子</w:t>
      </w:r>
    </w:p>
    <w:p w14:paraId="04BEA6E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C.西瓜</w:t>
      </w:r>
    </w:p>
    <w:p w14:paraId="07C3CCE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D.豇豆</w:t>
      </w:r>
    </w:p>
    <w:p w14:paraId="591AB48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108.桃树的嫁接方式主要为（   ）。</w:t>
      </w:r>
    </w:p>
    <w:p w14:paraId="0FCCB08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A.芽接          </w:t>
      </w:r>
    </w:p>
    <w:p w14:paraId="68B4630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B.腹接              </w:t>
      </w:r>
    </w:p>
    <w:p w14:paraId="1B015E6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C.插接             </w:t>
      </w:r>
    </w:p>
    <w:p w14:paraId="389C606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D.地接</w:t>
      </w:r>
    </w:p>
    <w:p w14:paraId="373DA80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109.目前生产上西瓜嫁接常用的方法主要有（   ）。</w:t>
      </w:r>
    </w:p>
    <w:p w14:paraId="43F14B7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A.插接</w:t>
      </w:r>
    </w:p>
    <w:p w14:paraId="05E5D42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B.贴接</w:t>
      </w:r>
    </w:p>
    <w:p w14:paraId="4F5ACA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C.劈接</w:t>
      </w:r>
    </w:p>
    <w:p w14:paraId="1E9E5D9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D.两段嫁接</w:t>
      </w:r>
    </w:p>
    <w:p w14:paraId="6EAB6F0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110.下列果树具有自家不结实现象的有（   ）。</w:t>
      </w:r>
    </w:p>
    <w:p w14:paraId="01F6768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A.苹果          </w:t>
      </w:r>
    </w:p>
    <w:p w14:paraId="4AC2296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B.桃形李            </w:t>
      </w:r>
    </w:p>
    <w:p w14:paraId="3D1FB6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C.栗                </w:t>
      </w:r>
    </w:p>
    <w:p w14:paraId="1DF4CF2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D.洋樱桃</w:t>
      </w:r>
    </w:p>
    <w:p w14:paraId="690B21A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111.生产上嫁接育苗常采用的营养土中通常包含（   ）。</w:t>
      </w:r>
    </w:p>
    <w:p w14:paraId="6FF4E1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A.蛭石</w:t>
      </w:r>
    </w:p>
    <w:p w14:paraId="40400F9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B.珍珠岩</w:t>
      </w:r>
    </w:p>
    <w:p w14:paraId="29A1F7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C.草炭</w:t>
      </w:r>
    </w:p>
    <w:p w14:paraId="7A8DD37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D.有机肥</w:t>
      </w:r>
    </w:p>
    <w:p w14:paraId="3271C48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112.防止果树生理落果的方法有（   ）。</w:t>
      </w:r>
    </w:p>
    <w:p w14:paraId="7ED9461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A.促使受精      </w:t>
      </w:r>
    </w:p>
    <w:p w14:paraId="7AD9909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B.调节营养状态      </w:t>
      </w:r>
    </w:p>
    <w:p w14:paraId="27A2A7A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C.应用生长调节剂    </w:t>
      </w:r>
    </w:p>
    <w:p w14:paraId="09E8080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D.适当修剪</w:t>
      </w:r>
    </w:p>
    <w:p w14:paraId="43D5D65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113.苗茎容易发生空腔的蔬菜应优先选用的嫁接方法有（  ）。</w:t>
      </w:r>
    </w:p>
    <w:p w14:paraId="06A6EBC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A.插接</w:t>
      </w:r>
    </w:p>
    <w:p w14:paraId="1F4DD46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B.贴接</w:t>
      </w:r>
    </w:p>
    <w:p w14:paraId="1171CB2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C.劈接</w:t>
      </w:r>
    </w:p>
    <w:p w14:paraId="2CC078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D.靠接</w:t>
      </w:r>
    </w:p>
    <w:p w14:paraId="3707EAD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114.桃的疏果程度为（   ）。</w:t>
      </w:r>
    </w:p>
    <w:p w14:paraId="2B4208A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A.长果枝3-5个   </w:t>
      </w:r>
    </w:p>
    <w:p w14:paraId="5883351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B.中果枝2-3个     </w:t>
      </w:r>
    </w:p>
    <w:p w14:paraId="7AFBE7D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C.中果枝1-2个      </w:t>
      </w:r>
    </w:p>
    <w:p w14:paraId="58EC11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D.短果枝1个</w:t>
      </w:r>
    </w:p>
    <w:p w14:paraId="208BAB2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115.番茄的嫁接常选用（   ）嫁接方法。</w:t>
      </w:r>
    </w:p>
    <w:p w14:paraId="348EB9B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A.芽接</w:t>
      </w:r>
    </w:p>
    <w:p w14:paraId="0C90EC6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B.靠接法</w:t>
      </w:r>
    </w:p>
    <w:p w14:paraId="1228CCD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C.劈接法</w:t>
      </w:r>
    </w:p>
    <w:p w14:paraId="67D0871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D.插接法</w:t>
      </w:r>
    </w:p>
    <w:p w14:paraId="41A85C0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116.桃苗的主要砧木有（   ）。</w:t>
      </w:r>
    </w:p>
    <w:p w14:paraId="5A83686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A.毛桃          </w:t>
      </w:r>
    </w:p>
    <w:p w14:paraId="62B5EB4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B.山桃              </w:t>
      </w:r>
    </w:p>
    <w:p w14:paraId="4779074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C.山杏             </w:t>
      </w:r>
    </w:p>
    <w:p w14:paraId="022981E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D.毛樱桃</w:t>
      </w:r>
    </w:p>
    <w:p w14:paraId="0A32135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117.黑籽南瓜可以做下列哪些作物的砧木（   ）。</w:t>
      </w:r>
    </w:p>
    <w:p w14:paraId="001278A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A.番茄</w:t>
      </w:r>
    </w:p>
    <w:p w14:paraId="1D5B915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B.茄子</w:t>
      </w:r>
    </w:p>
    <w:p w14:paraId="132142C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C.黄瓜</w:t>
      </w:r>
    </w:p>
    <w:p w14:paraId="54B569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D.西葫芦</w:t>
      </w:r>
    </w:p>
    <w:p w14:paraId="6D9D25C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118.甜樱桃的花芽分化具有（   ）特点。</w:t>
      </w:r>
    </w:p>
    <w:p w14:paraId="57FBC9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A.分化时间早     </w:t>
      </w:r>
    </w:p>
    <w:p w14:paraId="5D607EC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B.分化期集中       </w:t>
      </w:r>
    </w:p>
    <w:p w14:paraId="434B0AA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C.分化迅速         </w:t>
      </w:r>
    </w:p>
    <w:p w14:paraId="74E9CD3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D.较易分化</w:t>
      </w:r>
    </w:p>
    <w:p w14:paraId="10E5612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119.一般种子萌发可以分为以下（   ）几个过程。</w:t>
      </w:r>
    </w:p>
    <w:p w14:paraId="4543E01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A.吸胀</w:t>
      </w:r>
    </w:p>
    <w:p w14:paraId="1E19915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B.萌动</w:t>
      </w:r>
    </w:p>
    <w:p w14:paraId="7C2C518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C.胚根伸长</w:t>
      </w:r>
    </w:p>
    <w:p w14:paraId="347775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D.长成幼苗</w:t>
      </w:r>
    </w:p>
    <w:p w14:paraId="630B612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120.下列树种中，具有混合花芽的树种有（   ）。</w:t>
      </w:r>
    </w:p>
    <w:p w14:paraId="4ED7C85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A.苹果           </w:t>
      </w:r>
    </w:p>
    <w:p w14:paraId="0FF62A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B.无花果            </w:t>
      </w:r>
    </w:p>
    <w:p w14:paraId="5227A53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C.桃               </w:t>
      </w:r>
    </w:p>
    <w:p w14:paraId="757321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D.葡萄</w:t>
      </w:r>
    </w:p>
    <w:p w14:paraId="4C24B2A8">
      <w:pPr>
        <w:rPr>
          <w:rFonts w:ascii="仿宋_GB2312" w:eastAsia="仿宋_GB2312"/>
          <w:sz w:val="28"/>
          <w:szCs w:val="28"/>
        </w:rPr>
      </w:pPr>
      <w:r>
        <w:rPr>
          <w:rFonts w:hint="eastAsia" w:ascii="仿宋_GB2312" w:eastAsia="仿宋_GB2312" w:cs="仿宋"/>
          <w:kern w:val="0"/>
          <w:sz w:val="28"/>
          <w:szCs w:val="28"/>
        </w:rPr>
        <w:t>12</w:t>
      </w:r>
      <w:r>
        <w:rPr>
          <w:rFonts w:hint="eastAsia" w:ascii="仿宋_GB2312" w:eastAsia="仿宋_GB2312"/>
          <w:sz w:val="28"/>
          <w:szCs w:val="28"/>
        </w:rPr>
        <w:t>1.促进插穗生根的药剂有（   ）。</w:t>
      </w:r>
    </w:p>
    <w:p w14:paraId="229AC52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A.吲哚乙酸</w:t>
      </w:r>
      <w:r>
        <w:rPr>
          <w:rFonts w:hint="eastAsia" w:ascii="仿宋_GB2312" w:hAnsi="仿宋_GB2312" w:eastAsia="仿宋_GB2312" w:cs="仿宋_GB2312"/>
          <w:sz w:val="28"/>
          <w:szCs w:val="28"/>
        </w:rPr>
        <w:tab/>
      </w:r>
    </w:p>
    <w:p w14:paraId="159D441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B.吲哚丁酸</w:t>
      </w:r>
      <w:r>
        <w:rPr>
          <w:rFonts w:hint="eastAsia" w:ascii="仿宋_GB2312" w:hAnsi="仿宋_GB2312" w:eastAsia="仿宋_GB2312" w:cs="仿宋_GB2312"/>
          <w:sz w:val="28"/>
          <w:szCs w:val="28"/>
        </w:rPr>
        <w:tab/>
      </w:r>
    </w:p>
    <w:p w14:paraId="00F9F04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C.萘乙酸</w:t>
      </w:r>
      <w:r>
        <w:rPr>
          <w:rFonts w:hint="eastAsia" w:ascii="仿宋_GB2312" w:hAnsi="仿宋_GB2312" w:eastAsia="仿宋_GB2312" w:cs="仿宋_GB2312"/>
          <w:sz w:val="28"/>
          <w:szCs w:val="28"/>
        </w:rPr>
        <w:tab/>
      </w:r>
    </w:p>
    <w:p w14:paraId="69ED050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D.脱落酸</w:t>
      </w:r>
      <w:r>
        <w:rPr>
          <w:rFonts w:hint="eastAsia" w:ascii="仿宋_GB2312" w:hAnsi="仿宋_GB2312" w:eastAsia="仿宋_GB2312" w:cs="仿宋_GB2312"/>
          <w:sz w:val="28"/>
          <w:szCs w:val="28"/>
        </w:rPr>
        <w:tab/>
      </w:r>
    </w:p>
    <w:p w14:paraId="26BF7EAD">
      <w:pPr>
        <w:spacing w:line="360" w:lineRule="auto"/>
        <w:rPr>
          <w:rFonts w:ascii="仿宋" w:hAnsi="仿宋" w:eastAsia="仿宋"/>
          <w:sz w:val="28"/>
          <w:szCs w:val="28"/>
        </w:rPr>
      </w:pPr>
      <w:r>
        <w:rPr>
          <w:rFonts w:hint="eastAsia" w:ascii="仿宋_GB2312" w:eastAsia="仿宋_GB2312" w:cs="仿宋"/>
          <w:kern w:val="0"/>
          <w:sz w:val="28"/>
          <w:szCs w:val="28"/>
        </w:rPr>
        <w:t>12</w:t>
      </w:r>
      <w:r>
        <w:rPr>
          <w:rFonts w:hint="eastAsia" w:ascii="仿宋_GB2312" w:eastAsia="仿宋_GB2312"/>
          <w:sz w:val="28"/>
          <w:szCs w:val="28"/>
        </w:rPr>
        <w:t>2.</w:t>
      </w:r>
      <w:r>
        <w:rPr>
          <w:rFonts w:hint="eastAsia" w:ascii="仿宋" w:hAnsi="仿宋" w:eastAsia="仿宋"/>
          <w:sz w:val="28"/>
          <w:szCs w:val="28"/>
        </w:rPr>
        <w:t>有些树种，如（   ）嫁接时，往往因伤口流胶而窒息了切口面的细胞呼吸，妨碍愈伤组织的产生而降低成活率。</w:t>
      </w:r>
    </w:p>
    <w:p w14:paraId="2FB7138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A.桃</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3B7E9F6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68D496F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C.杏</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7EBB6E7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D.樱桃</w:t>
      </w:r>
    </w:p>
    <w:p w14:paraId="4A39897C">
      <w:pPr>
        <w:spacing w:line="360" w:lineRule="auto"/>
        <w:rPr>
          <w:rFonts w:ascii="仿宋" w:hAnsi="仿宋" w:eastAsia="仿宋"/>
          <w:sz w:val="28"/>
          <w:szCs w:val="28"/>
        </w:rPr>
      </w:pPr>
      <w:r>
        <w:rPr>
          <w:rFonts w:hint="eastAsia" w:ascii="仿宋_GB2312" w:eastAsia="仿宋_GB2312" w:cs="仿宋"/>
          <w:kern w:val="0"/>
          <w:sz w:val="28"/>
          <w:szCs w:val="28"/>
        </w:rPr>
        <w:t>12</w:t>
      </w:r>
      <w:r>
        <w:rPr>
          <w:rFonts w:hint="eastAsia" w:ascii="仿宋_GB2312" w:eastAsia="仿宋_GB2312"/>
          <w:sz w:val="28"/>
          <w:szCs w:val="28"/>
        </w:rPr>
        <w:t>3.</w:t>
      </w:r>
      <w:r>
        <w:rPr>
          <w:rFonts w:hint="eastAsia" w:ascii="仿宋" w:hAnsi="仿宋" w:eastAsia="仿宋"/>
          <w:sz w:val="28"/>
          <w:szCs w:val="28"/>
        </w:rPr>
        <w:t>嫁接成活的影响因素有（   ）。</w:t>
      </w:r>
    </w:p>
    <w:p w14:paraId="6DA7AC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A.愈伤组织的形成需要充足的氧气，所以接口宜稀疏的加以绑缚</w:t>
      </w:r>
    </w:p>
    <w:p w14:paraId="4763DFB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B.黑暗有利于愈合组织的产生，所以接口处尽量选择在背光面</w:t>
      </w:r>
    </w:p>
    <w:p w14:paraId="2BC5BA4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C.接穗和砧木发育充实，贮藏营养物质较多时，嫁接易于成活</w:t>
      </w:r>
    </w:p>
    <w:p w14:paraId="32AED8D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D.嫁接技术要求快、平、准、紧、严，即动作速度快、削面平、 形成层对准、包扎捆绑紧、封口要严</w:t>
      </w:r>
      <w:r>
        <w:rPr>
          <w:rFonts w:hint="eastAsia" w:ascii="仿宋_GB2312" w:hAnsi="仿宋_GB2312" w:eastAsia="仿宋_GB2312" w:cs="仿宋_GB2312"/>
          <w:sz w:val="28"/>
          <w:szCs w:val="28"/>
        </w:rPr>
        <w:tab/>
      </w:r>
    </w:p>
    <w:p w14:paraId="65D03AC6">
      <w:pPr>
        <w:rPr>
          <w:rFonts w:ascii="仿宋_GB2312" w:eastAsia="仿宋_GB2312"/>
          <w:sz w:val="28"/>
          <w:szCs w:val="28"/>
        </w:rPr>
      </w:pPr>
      <w:r>
        <w:rPr>
          <w:rFonts w:hint="eastAsia" w:ascii="仿宋_GB2312" w:eastAsia="仿宋_GB2312" w:cs="仿宋"/>
          <w:kern w:val="0"/>
          <w:sz w:val="28"/>
          <w:szCs w:val="28"/>
        </w:rPr>
        <w:t>12</w:t>
      </w:r>
      <w:r>
        <w:rPr>
          <w:rFonts w:hint="eastAsia" w:ascii="仿宋_GB2312" w:eastAsia="仿宋_GB2312"/>
          <w:sz w:val="28"/>
          <w:szCs w:val="28"/>
        </w:rPr>
        <w:t>4.促进插穗生根的措施有（   ）。</w:t>
      </w:r>
      <w:r>
        <w:rPr>
          <w:rFonts w:hint="eastAsia" w:ascii="仿宋_GB2312" w:eastAsia="仿宋_GB2312"/>
          <w:sz w:val="28"/>
          <w:szCs w:val="28"/>
        </w:rPr>
        <w:tab/>
      </w:r>
    </w:p>
    <w:p w14:paraId="4BDD8C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A.机械处理</w:t>
      </w:r>
      <w:r>
        <w:rPr>
          <w:rFonts w:hint="eastAsia" w:ascii="仿宋_GB2312" w:hAnsi="仿宋_GB2312" w:eastAsia="仿宋_GB2312" w:cs="仿宋_GB2312"/>
          <w:sz w:val="28"/>
          <w:szCs w:val="28"/>
        </w:rPr>
        <w:tab/>
      </w:r>
    </w:p>
    <w:p w14:paraId="3A2C2A2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B.黄化处理</w:t>
      </w:r>
      <w:r>
        <w:rPr>
          <w:rFonts w:hint="eastAsia" w:ascii="仿宋_GB2312" w:hAnsi="仿宋_GB2312" w:eastAsia="仿宋_GB2312" w:cs="仿宋_GB2312"/>
          <w:sz w:val="28"/>
          <w:szCs w:val="28"/>
        </w:rPr>
        <w:tab/>
      </w:r>
    </w:p>
    <w:p w14:paraId="7A03A65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C.洗脱处理</w:t>
      </w:r>
      <w:r>
        <w:rPr>
          <w:rFonts w:hint="eastAsia" w:ascii="仿宋_GB2312" w:hAnsi="仿宋_GB2312" w:eastAsia="仿宋_GB2312" w:cs="仿宋_GB2312"/>
          <w:sz w:val="28"/>
          <w:szCs w:val="28"/>
        </w:rPr>
        <w:tab/>
      </w:r>
    </w:p>
    <w:p w14:paraId="51FB685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D.加温处理</w:t>
      </w:r>
      <w:r>
        <w:rPr>
          <w:rFonts w:hint="eastAsia" w:ascii="仿宋_GB2312" w:hAnsi="仿宋_GB2312" w:eastAsia="仿宋_GB2312" w:cs="仿宋_GB2312"/>
          <w:sz w:val="28"/>
          <w:szCs w:val="28"/>
        </w:rPr>
        <w:tab/>
      </w:r>
    </w:p>
    <w:p w14:paraId="16603C99">
      <w:pPr>
        <w:spacing w:line="360" w:lineRule="auto"/>
        <w:rPr>
          <w:rFonts w:ascii="仿宋" w:hAnsi="仿宋" w:eastAsia="仿宋"/>
          <w:sz w:val="28"/>
          <w:szCs w:val="28"/>
        </w:rPr>
      </w:pPr>
      <w:r>
        <w:rPr>
          <w:rFonts w:hint="eastAsia" w:ascii="仿宋_GB2312" w:eastAsia="仿宋_GB2312" w:cs="仿宋"/>
          <w:kern w:val="0"/>
          <w:sz w:val="28"/>
          <w:szCs w:val="28"/>
        </w:rPr>
        <w:t>12</w:t>
      </w:r>
      <w:r>
        <w:rPr>
          <w:rFonts w:hint="eastAsia" w:ascii="仿宋_GB2312" w:eastAsia="仿宋_GB2312"/>
          <w:sz w:val="28"/>
          <w:szCs w:val="28"/>
        </w:rPr>
        <w:t>5.</w:t>
      </w:r>
      <w:r>
        <w:rPr>
          <w:rFonts w:hint="eastAsia" w:ascii="仿宋" w:hAnsi="仿宋" w:eastAsia="仿宋"/>
          <w:sz w:val="28"/>
          <w:szCs w:val="28"/>
        </w:rPr>
        <w:t>柑橘苗木嫁接后主要的管理内容有（    ）。</w:t>
      </w:r>
    </w:p>
    <w:p w14:paraId="2F3D774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A.解膜、弯砧</w:t>
      </w:r>
    </w:p>
    <w:p w14:paraId="2CB9356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B.剪砧、除萌</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077F86B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C.扶苗、摘心</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09F2721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D.病虫防治</w:t>
      </w:r>
    </w:p>
    <w:p w14:paraId="2CC551CA">
      <w:pPr>
        <w:spacing w:line="360" w:lineRule="auto"/>
        <w:rPr>
          <w:rFonts w:ascii="仿宋" w:hAnsi="仿宋" w:eastAsia="仿宋"/>
          <w:sz w:val="28"/>
          <w:szCs w:val="28"/>
        </w:rPr>
      </w:pPr>
      <w:r>
        <w:rPr>
          <w:rFonts w:hint="eastAsia" w:ascii="仿宋_GB2312" w:eastAsia="仿宋_GB2312" w:cs="仿宋"/>
          <w:kern w:val="0"/>
          <w:sz w:val="28"/>
          <w:szCs w:val="28"/>
        </w:rPr>
        <w:t>12</w:t>
      </w:r>
      <w:r>
        <w:rPr>
          <w:rFonts w:hint="eastAsia" w:ascii="仿宋_GB2312" w:eastAsia="仿宋_GB2312"/>
          <w:sz w:val="28"/>
          <w:szCs w:val="28"/>
        </w:rPr>
        <w:t>6.</w:t>
      </w:r>
      <w:r>
        <w:rPr>
          <w:rFonts w:hint="eastAsia" w:ascii="仿宋" w:hAnsi="仿宋" w:eastAsia="仿宋"/>
          <w:sz w:val="28"/>
          <w:szCs w:val="28"/>
        </w:rPr>
        <w:t>果树嫁接不亲和的原因分析有（   ）。</w:t>
      </w:r>
    </w:p>
    <w:p w14:paraId="092790F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A.砧木与接穗的亲缘关系太近</w:t>
      </w:r>
      <w:r>
        <w:rPr>
          <w:rFonts w:hint="eastAsia" w:ascii="仿宋_GB2312" w:hAnsi="仿宋_GB2312" w:eastAsia="仿宋_GB2312" w:cs="仿宋_GB2312"/>
          <w:sz w:val="28"/>
          <w:szCs w:val="28"/>
        </w:rPr>
        <w:tab/>
      </w:r>
    </w:p>
    <w:p w14:paraId="7DF8D97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B.有害物质的产生</w:t>
      </w:r>
    </w:p>
    <w:p w14:paraId="1D7AD21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C.愈伤组织形成过充分</w:t>
      </w:r>
      <w:r>
        <w:rPr>
          <w:rFonts w:hint="eastAsia" w:ascii="仿宋_GB2312" w:hAnsi="仿宋_GB2312" w:eastAsia="仿宋_GB2312" w:cs="仿宋_GB2312"/>
          <w:sz w:val="28"/>
          <w:szCs w:val="28"/>
        </w:rPr>
        <w:tab/>
      </w:r>
    </w:p>
    <w:p w14:paraId="39F56E7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D.输导组织分化不完全</w:t>
      </w:r>
    </w:p>
    <w:p w14:paraId="19055C37">
      <w:pPr>
        <w:rPr>
          <w:rFonts w:ascii="仿宋_GB2312" w:eastAsia="仿宋_GB2312"/>
          <w:sz w:val="28"/>
          <w:szCs w:val="28"/>
        </w:rPr>
      </w:pPr>
      <w:r>
        <w:rPr>
          <w:rFonts w:hint="eastAsia" w:ascii="仿宋_GB2312" w:eastAsia="仿宋_GB2312" w:cs="仿宋"/>
          <w:kern w:val="0"/>
          <w:sz w:val="28"/>
          <w:szCs w:val="28"/>
        </w:rPr>
        <w:t>12</w:t>
      </w:r>
      <w:r>
        <w:rPr>
          <w:rFonts w:hint="eastAsia" w:ascii="仿宋_GB2312" w:eastAsia="仿宋_GB2312"/>
          <w:sz w:val="28"/>
          <w:szCs w:val="28"/>
        </w:rPr>
        <w:t>7.种子的质量标准包括（   ）。</w:t>
      </w:r>
    </w:p>
    <w:p w14:paraId="723E2F5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A.千粒重</w:t>
      </w:r>
      <w:r>
        <w:rPr>
          <w:rFonts w:hint="eastAsia" w:ascii="仿宋_GB2312" w:hAnsi="仿宋_GB2312" w:eastAsia="仿宋_GB2312" w:cs="仿宋_GB2312"/>
          <w:sz w:val="28"/>
          <w:szCs w:val="28"/>
        </w:rPr>
        <w:tab/>
      </w:r>
    </w:p>
    <w:p w14:paraId="1D80168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B.纯度</w:t>
      </w:r>
      <w:r>
        <w:rPr>
          <w:rFonts w:hint="eastAsia" w:ascii="仿宋_GB2312" w:hAnsi="仿宋_GB2312" w:eastAsia="仿宋_GB2312" w:cs="仿宋_GB2312"/>
          <w:sz w:val="28"/>
          <w:szCs w:val="28"/>
        </w:rPr>
        <w:tab/>
      </w:r>
    </w:p>
    <w:p w14:paraId="76B69A4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C.净度</w:t>
      </w:r>
      <w:r>
        <w:rPr>
          <w:rFonts w:hint="eastAsia" w:ascii="仿宋_GB2312" w:hAnsi="仿宋_GB2312" w:eastAsia="仿宋_GB2312" w:cs="仿宋_GB2312"/>
          <w:sz w:val="28"/>
          <w:szCs w:val="28"/>
        </w:rPr>
        <w:tab/>
      </w:r>
    </w:p>
    <w:p w14:paraId="6BA219B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D.发芽率</w:t>
      </w:r>
      <w:r>
        <w:rPr>
          <w:rFonts w:hint="eastAsia" w:ascii="仿宋_GB2312" w:hAnsi="仿宋_GB2312" w:eastAsia="仿宋_GB2312" w:cs="仿宋_GB2312"/>
          <w:sz w:val="28"/>
          <w:szCs w:val="28"/>
        </w:rPr>
        <w:tab/>
      </w:r>
    </w:p>
    <w:p w14:paraId="23EBB501">
      <w:pPr>
        <w:rPr>
          <w:rFonts w:ascii="仿宋_GB2312" w:eastAsia="仿宋_GB2312"/>
          <w:sz w:val="28"/>
          <w:szCs w:val="28"/>
        </w:rPr>
      </w:pPr>
      <w:r>
        <w:rPr>
          <w:rFonts w:hint="eastAsia" w:ascii="仿宋_GB2312" w:eastAsia="仿宋_GB2312" w:cs="仿宋"/>
          <w:kern w:val="0"/>
          <w:sz w:val="28"/>
          <w:szCs w:val="28"/>
        </w:rPr>
        <w:t>12</w:t>
      </w:r>
      <w:r>
        <w:rPr>
          <w:rFonts w:hint="eastAsia" w:ascii="仿宋_GB2312" w:eastAsia="仿宋_GB2312"/>
          <w:sz w:val="28"/>
          <w:szCs w:val="28"/>
        </w:rPr>
        <w:t>8.浸种的方法一般有（   ）。</w:t>
      </w:r>
    </w:p>
    <w:p w14:paraId="6395D61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A.一般浸种</w:t>
      </w:r>
    </w:p>
    <w:p w14:paraId="0873999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B.温汤浸种</w:t>
      </w:r>
      <w:r>
        <w:rPr>
          <w:rFonts w:hint="eastAsia" w:ascii="仿宋_GB2312" w:hAnsi="仿宋_GB2312" w:eastAsia="仿宋_GB2312" w:cs="仿宋_GB2312"/>
          <w:sz w:val="28"/>
          <w:szCs w:val="28"/>
        </w:rPr>
        <w:tab/>
      </w:r>
    </w:p>
    <w:p w14:paraId="2C12D0D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C.热水烫种</w:t>
      </w:r>
      <w:r>
        <w:rPr>
          <w:rFonts w:hint="eastAsia" w:ascii="仿宋_GB2312" w:hAnsi="仿宋_GB2312" w:eastAsia="仿宋_GB2312" w:cs="仿宋_GB2312"/>
          <w:sz w:val="28"/>
          <w:szCs w:val="28"/>
        </w:rPr>
        <w:tab/>
      </w:r>
    </w:p>
    <w:p w14:paraId="728CF87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D.闷种</w:t>
      </w:r>
      <w:r>
        <w:rPr>
          <w:rFonts w:hint="eastAsia" w:ascii="仿宋_GB2312" w:hAnsi="仿宋_GB2312" w:eastAsia="仿宋_GB2312" w:cs="仿宋_GB2312"/>
          <w:sz w:val="28"/>
          <w:szCs w:val="28"/>
        </w:rPr>
        <w:tab/>
      </w:r>
    </w:p>
    <w:p w14:paraId="618A3A5D">
      <w:pPr>
        <w:spacing w:line="360" w:lineRule="auto"/>
        <w:rPr>
          <w:rFonts w:ascii="仿宋" w:hAnsi="仿宋" w:eastAsia="仿宋"/>
          <w:sz w:val="28"/>
          <w:szCs w:val="28"/>
        </w:rPr>
      </w:pPr>
      <w:r>
        <w:rPr>
          <w:rFonts w:hint="eastAsia" w:ascii="仿宋_GB2312" w:eastAsia="仿宋_GB2312" w:cs="仿宋"/>
          <w:kern w:val="0"/>
          <w:sz w:val="28"/>
          <w:szCs w:val="28"/>
        </w:rPr>
        <w:t>12</w:t>
      </w:r>
      <w:r>
        <w:rPr>
          <w:rFonts w:hint="eastAsia" w:ascii="仿宋_GB2312" w:eastAsia="仿宋_GB2312"/>
          <w:sz w:val="28"/>
          <w:szCs w:val="28"/>
        </w:rPr>
        <w:t>9.</w:t>
      </w:r>
      <w:r>
        <w:rPr>
          <w:rFonts w:hint="eastAsia" w:ascii="仿宋" w:hAnsi="仿宋" w:eastAsia="仿宋"/>
          <w:sz w:val="28"/>
          <w:szCs w:val="28"/>
        </w:rPr>
        <w:t>柑桔嫁接的方法主要有（   ）。</w:t>
      </w:r>
    </w:p>
    <w:p w14:paraId="526BBC9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A.靠接</w:t>
      </w:r>
      <w:r>
        <w:rPr>
          <w:rFonts w:hint="eastAsia" w:ascii="仿宋_GB2312" w:hAnsi="仿宋_GB2312" w:eastAsia="仿宋_GB2312" w:cs="仿宋_GB2312"/>
          <w:sz w:val="28"/>
          <w:szCs w:val="28"/>
        </w:rPr>
        <w:tab/>
      </w:r>
    </w:p>
    <w:p w14:paraId="06B8A44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B.切接</w:t>
      </w:r>
      <w:r>
        <w:rPr>
          <w:rFonts w:hint="eastAsia" w:ascii="仿宋_GB2312" w:hAnsi="仿宋_GB2312" w:eastAsia="仿宋_GB2312" w:cs="仿宋_GB2312"/>
          <w:sz w:val="28"/>
          <w:szCs w:val="28"/>
        </w:rPr>
        <w:tab/>
      </w:r>
    </w:p>
    <w:p w14:paraId="7BB58C5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C.腹接</w:t>
      </w:r>
      <w:r>
        <w:rPr>
          <w:rFonts w:hint="eastAsia" w:ascii="仿宋_GB2312" w:hAnsi="仿宋_GB2312" w:eastAsia="仿宋_GB2312" w:cs="仿宋_GB2312"/>
          <w:sz w:val="28"/>
          <w:szCs w:val="28"/>
        </w:rPr>
        <w:tab/>
      </w:r>
    </w:p>
    <w:p w14:paraId="22621AA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D.芽接</w:t>
      </w:r>
    </w:p>
    <w:p w14:paraId="314471FF">
      <w:pPr>
        <w:rPr>
          <w:rFonts w:ascii="仿宋_GB2312" w:eastAsia="仿宋_GB2312"/>
          <w:sz w:val="28"/>
          <w:szCs w:val="28"/>
        </w:rPr>
      </w:pPr>
      <w:r>
        <w:rPr>
          <w:rFonts w:hint="eastAsia" w:ascii="仿宋_GB2312" w:eastAsia="仿宋_GB2312"/>
          <w:sz w:val="28"/>
          <w:szCs w:val="28"/>
        </w:rPr>
        <w:t>130.固体基质消毒的方法一般有（   ）。</w:t>
      </w:r>
    </w:p>
    <w:p w14:paraId="5FE0FC6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A.冲水</w:t>
      </w:r>
      <w:r>
        <w:rPr>
          <w:rFonts w:hint="eastAsia" w:ascii="仿宋_GB2312" w:hAnsi="仿宋_GB2312" w:eastAsia="仿宋_GB2312" w:cs="仿宋_GB2312"/>
          <w:sz w:val="28"/>
          <w:szCs w:val="28"/>
        </w:rPr>
        <w:tab/>
      </w:r>
    </w:p>
    <w:p w14:paraId="5E65371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B.蒸汽消毒</w:t>
      </w:r>
      <w:r>
        <w:rPr>
          <w:rFonts w:hint="eastAsia" w:ascii="仿宋_GB2312" w:hAnsi="仿宋_GB2312" w:eastAsia="仿宋_GB2312" w:cs="仿宋_GB2312"/>
          <w:sz w:val="28"/>
          <w:szCs w:val="28"/>
        </w:rPr>
        <w:tab/>
      </w:r>
    </w:p>
    <w:p w14:paraId="2B94720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C.太阳能消毒</w:t>
      </w:r>
    </w:p>
    <w:p w14:paraId="656E335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D.药剂消毒</w:t>
      </w:r>
      <w:r>
        <w:rPr>
          <w:rFonts w:hint="eastAsia" w:ascii="仿宋_GB2312" w:hAnsi="仿宋_GB2312" w:eastAsia="仿宋_GB2312" w:cs="仿宋_GB2312"/>
          <w:sz w:val="28"/>
          <w:szCs w:val="28"/>
        </w:rPr>
        <w:tab/>
      </w:r>
    </w:p>
    <w:p w14:paraId="77626AF4">
      <w:r>
        <w:rPr>
          <w:rFonts w:hint="eastAsia" w:ascii="仿宋_GB2312" w:eastAsia="仿宋_GB2312"/>
          <w:sz w:val="28"/>
          <w:szCs w:val="28"/>
        </w:rPr>
        <w:t>131.固体基质的选用原则有（   ）。</w:t>
      </w:r>
    </w:p>
    <w:p w14:paraId="5C05470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A.理化性质优良</w:t>
      </w:r>
      <w:r>
        <w:rPr>
          <w:rFonts w:hint="eastAsia" w:ascii="仿宋_GB2312" w:hAnsi="仿宋_GB2312" w:eastAsia="仿宋_GB2312" w:cs="仿宋_GB2312"/>
          <w:sz w:val="28"/>
          <w:szCs w:val="28"/>
        </w:rPr>
        <w:tab/>
      </w:r>
    </w:p>
    <w:p w14:paraId="514667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B.来源广泛、价格便宜</w:t>
      </w:r>
    </w:p>
    <w:p w14:paraId="0BC6897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C.宜采用复合基质</w:t>
      </w:r>
      <w:r>
        <w:rPr>
          <w:rFonts w:hint="eastAsia" w:ascii="仿宋_GB2312" w:hAnsi="仿宋_GB2312" w:eastAsia="仿宋_GB2312" w:cs="仿宋_GB2312"/>
          <w:sz w:val="28"/>
          <w:szCs w:val="28"/>
        </w:rPr>
        <w:tab/>
      </w:r>
    </w:p>
    <w:p w14:paraId="31AA39A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D.无菌</w:t>
      </w:r>
      <w:r>
        <w:rPr>
          <w:rFonts w:hint="eastAsia" w:ascii="仿宋_GB2312" w:hAnsi="仿宋_GB2312" w:eastAsia="仿宋_GB2312" w:cs="仿宋_GB2312"/>
          <w:sz w:val="28"/>
          <w:szCs w:val="28"/>
        </w:rPr>
        <w:tab/>
      </w:r>
    </w:p>
    <w:p w14:paraId="466E37F2">
      <w:pPr>
        <w:rPr>
          <w:rFonts w:ascii="仿宋_GB2312" w:eastAsia="仿宋_GB2312"/>
          <w:sz w:val="28"/>
          <w:szCs w:val="28"/>
        </w:rPr>
      </w:pPr>
      <w:r>
        <w:rPr>
          <w:rFonts w:hint="eastAsia" w:ascii="仿宋_GB2312" w:eastAsia="仿宋_GB2312"/>
          <w:sz w:val="28"/>
          <w:szCs w:val="28"/>
        </w:rPr>
        <w:t>132.下列属于有机基质的有（   ）。</w:t>
      </w:r>
    </w:p>
    <w:p w14:paraId="564D9C4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A.草炭</w:t>
      </w:r>
      <w:r>
        <w:rPr>
          <w:rFonts w:hint="eastAsia" w:ascii="仿宋_GB2312" w:hAnsi="仿宋_GB2312" w:eastAsia="仿宋_GB2312" w:cs="仿宋_GB2312"/>
          <w:sz w:val="28"/>
          <w:szCs w:val="28"/>
        </w:rPr>
        <w:tab/>
      </w:r>
    </w:p>
    <w:p w14:paraId="1359F2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B.木屑</w:t>
      </w:r>
      <w:r>
        <w:rPr>
          <w:rFonts w:hint="eastAsia" w:ascii="仿宋_GB2312" w:hAnsi="仿宋_GB2312" w:eastAsia="仿宋_GB2312" w:cs="仿宋_GB2312"/>
          <w:sz w:val="28"/>
          <w:szCs w:val="28"/>
        </w:rPr>
        <w:tab/>
      </w:r>
    </w:p>
    <w:p w14:paraId="5E933D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C.椰糠</w:t>
      </w:r>
      <w:r>
        <w:rPr>
          <w:rFonts w:hint="eastAsia" w:ascii="仿宋_GB2312" w:hAnsi="仿宋_GB2312" w:eastAsia="仿宋_GB2312" w:cs="仿宋_GB2312"/>
          <w:sz w:val="28"/>
          <w:szCs w:val="28"/>
        </w:rPr>
        <w:tab/>
      </w:r>
    </w:p>
    <w:p w14:paraId="0FA7DF79">
      <w:pPr>
        <w:spacing w:line="360" w:lineRule="auto"/>
        <w:ind w:firstLine="280" w:firstLineChars="100"/>
        <w:rPr>
          <w:rFonts w:ascii="仿宋_GB2312" w:eastAsia="仿宋_GB2312"/>
          <w:sz w:val="28"/>
          <w:szCs w:val="28"/>
        </w:rPr>
      </w:pPr>
      <w:r>
        <w:rPr>
          <w:rFonts w:hint="eastAsia" w:ascii="仿宋_GB2312" w:hAnsi="仿宋_GB2312" w:eastAsia="仿宋_GB2312" w:cs="仿宋_GB2312"/>
          <w:sz w:val="28"/>
          <w:szCs w:val="28"/>
        </w:rPr>
        <w:t>D.海绵</w:t>
      </w:r>
      <w:r>
        <w:rPr>
          <w:rFonts w:hint="eastAsia" w:ascii="仿宋_GB2312" w:hAnsi="仿宋_GB2312" w:eastAsia="仿宋_GB2312" w:cs="仿宋_GB2312"/>
          <w:sz w:val="28"/>
          <w:szCs w:val="28"/>
        </w:rPr>
        <w:tab/>
      </w:r>
      <w:r>
        <w:rPr>
          <w:rFonts w:hint="eastAsia" w:ascii="仿宋_GB2312" w:eastAsia="仿宋_GB2312"/>
          <w:sz w:val="28"/>
          <w:szCs w:val="28"/>
        </w:rPr>
        <w:tab/>
      </w:r>
    </w:p>
    <w:p w14:paraId="14F892F7">
      <w:pPr>
        <w:rPr>
          <w:rFonts w:ascii="仿宋_GB2312" w:eastAsia="仿宋_GB2312"/>
          <w:sz w:val="28"/>
          <w:szCs w:val="28"/>
        </w:rPr>
      </w:pPr>
      <w:r>
        <w:rPr>
          <w:rFonts w:hint="eastAsia" w:ascii="仿宋_GB2312" w:eastAsia="仿宋_GB2312"/>
          <w:sz w:val="28"/>
          <w:szCs w:val="28"/>
        </w:rPr>
        <w:t>133.下列属于合成基质的有（   ）。</w:t>
      </w:r>
      <w:r>
        <w:rPr>
          <w:rFonts w:hint="eastAsia" w:ascii="仿宋_GB2312" w:eastAsia="仿宋_GB2312"/>
          <w:sz w:val="28"/>
          <w:szCs w:val="28"/>
        </w:rPr>
        <w:tab/>
      </w:r>
    </w:p>
    <w:p w14:paraId="49B4DAE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A.珍珠岩</w:t>
      </w:r>
      <w:r>
        <w:rPr>
          <w:rFonts w:hint="eastAsia" w:ascii="仿宋_GB2312" w:hAnsi="仿宋_GB2312" w:eastAsia="仿宋_GB2312" w:cs="仿宋_GB2312"/>
          <w:sz w:val="28"/>
          <w:szCs w:val="28"/>
        </w:rPr>
        <w:tab/>
      </w:r>
    </w:p>
    <w:p w14:paraId="0D1701A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B.沙子</w:t>
      </w:r>
      <w:r>
        <w:rPr>
          <w:rFonts w:hint="eastAsia" w:ascii="仿宋_GB2312" w:hAnsi="仿宋_GB2312" w:eastAsia="仿宋_GB2312" w:cs="仿宋_GB2312"/>
          <w:sz w:val="28"/>
          <w:szCs w:val="28"/>
        </w:rPr>
        <w:tab/>
      </w:r>
    </w:p>
    <w:p w14:paraId="061E5C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C.炉渣</w:t>
      </w:r>
      <w:r>
        <w:rPr>
          <w:rFonts w:hint="eastAsia" w:ascii="仿宋_GB2312" w:hAnsi="仿宋_GB2312" w:eastAsia="仿宋_GB2312" w:cs="仿宋_GB2312"/>
          <w:sz w:val="28"/>
          <w:szCs w:val="28"/>
        </w:rPr>
        <w:tab/>
      </w:r>
    </w:p>
    <w:p w14:paraId="4467A0A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D.蛭石</w:t>
      </w:r>
      <w:r>
        <w:rPr>
          <w:rFonts w:hint="eastAsia" w:ascii="仿宋_GB2312" w:hAnsi="仿宋_GB2312" w:eastAsia="仿宋_GB2312" w:cs="仿宋_GB2312"/>
          <w:sz w:val="28"/>
          <w:szCs w:val="28"/>
        </w:rPr>
        <w:tab/>
      </w:r>
    </w:p>
    <w:p w14:paraId="61FF465C">
      <w:pPr>
        <w:rPr>
          <w:rFonts w:ascii="仿宋_GB2312" w:eastAsia="仿宋_GB2312"/>
          <w:sz w:val="28"/>
          <w:szCs w:val="28"/>
        </w:rPr>
      </w:pPr>
      <w:r>
        <w:rPr>
          <w:rFonts w:hint="eastAsia" w:ascii="仿宋_GB2312" w:eastAsia="仿宋_GB2312"/>
          <w:sz w:val="28"/>
          <w:szCs w:val="28"/>
        </w:rPr>
        <w:t>134.固体基质的化学性质一般指的是（  ）。</w:t>
      </w:r>
    </w:p>
    <w:p w14:paraId="36935AA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A.化学稳定性</w:t>
      </w:r>
      <w:r>
        <w:rPr>
          <w:rFonts w:hint="eastAsia" w:ascii="仿宋_GB2312" w:hAnsi="仿宋_GB2312" w:eastAsia="仿宋_GB2312" w:cs="仿宋_GB2312"/>
          <w:sz w:val="28"/>
          <w:szCs w:val="28"/>
        </w:rPr>
        <w:tab/>
      </w:r>
    </w:p>
    <w:p w14:paraId="4E1ECCE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B.缓冲能力</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5382D65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C.盐基交换量</w:t>
      </w:r>
      <w:r>
        <w:rPr>
          <w:rFonts w:hint="eastAsia" w:ascii="仿宋_GB2312" w:hAnsi="仿宋_GB2312" w:eastAsia="仿宋_GB2312" w:cs="仿宋_GB2312"/>
          <w:sz w:val="28"/>
          <w:szCs w:val="28"/>
        </w:rPr>
        <w:tab/>
      </w:r>
    </w:p>
    <w:p w14:paraId="3FF8A3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D.酸碱性</w:t>
      </w:r>
      <w:r>
        <w:rPr>
          <w:rFonts w:hint="eastAsia" w:ascii="仿宋_GB2312" w:hAnsi="仿宋_GB2312" w:eastAsia="仿宋_GB2312" w:cs="仿宋_GB2312"/>
          <w:sz w:val="28"/>
          <w:szCs w:val="28"/>
        </w:rPr>
        <w:tab/>
      </w:r>
    </w:p>
    <w:p w14:paraId="43B3D244">
      <w:pPr>
        <w:rPr>
          <w:rFonts w:ascii="仿宋_GB2312" w:eastAsia="仿宋_GB2312"/>
          <w:sz w:val="28"/>
          <w:szCs w:val="28"/>
        </w:rPr>
      </w:pPr>
      <w:r>
        <w:rPr>
          <w:rFonts w:hint="eastAsia" w:ascii="仿宋_GB2312" w:eastAsia="仿宋_GB2312"/>
          <w:sz w:val="28"/>
          <w:szCs w:val="28"/>
        </w:rPr>
        <w:t>135.固体基质的物理性质一般指的是（  ）。</w:t>
      </w:r>
    </w:p>
    <w:p w14:paraId="53537DC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A.容重</w:t>
      </w:r>
      <w:r>
        <w:rPr>
          <w:rFonts w:hint="eastAsia" w:ascii="仿宋_GB2312" w:hAnsi="仿宋_GB2312" w:eastAsia="仿宋_GB2312" w:cs="仿宋_GB2312"/>
          <w:sz w:val="28"/>
          <w:szCs w:val="28"/>
        </w:rPr>
        <w:tab/>
      </w:r>
    </w:p>
    <w:p w14:paraId="33239DC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B.总孔隙度</w:t>
      </w:r>
      <w:r>
        <w:rPr>
          <w:rFonts w:hint="eastAsia" w:ascii="仿宋_GB2312" w:hAnsi="仿宋_GB2312" w:eastAsia="仿宋_GB2312" w:cs="仿宋_GB2312"/>
          <w:sz w:val="28"/>
          <w:szCs w:val="28"/>
        </w:rPr>
        <w:tab/>
      </w:r>
    </w:p>
    <w:p w14:paraId="5506BA3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C.气水比</w:t>
      </w:r>
    </w:p>
    <w:p w14:paraId="6987DBE5">
      <w:pPr>
        <w:spacing w:line="360" w:lineRule="auto"/>
        <w:ind w:firstLine="280" w:firstLineChars="100"/>
        <w:rPr>
          <w:rFonts w:ascii="仿宋_GB2312" w:eastAsia="仿宋_GB2312"/>
          <w:sz w:val="28"/>
          <w:szCs w:val="28"/>
        </w:rPr>
      </w:pPr>
      <w:r>
        <w:rPr>
          <w:rFonts w:hint="eastAsia" w:ascii="仿宋_GB2312" w:hAnsi="仿宋_GB2312" w:eastAsia="仿宋_GB2312" w:cs="仿宋_GB2312"/>
          <w:sz w:val="28"/>
          <w:szCs w:val="28"/>
        </w:rPr>
        <w:t>D.颗粒大小</w:t>
      </w:r>
      <w:r>
        <w:rPr>
          <w:rFonts w:hint="eastAsia" w:ascii="仿宋_GB2312" w:hAnsi="仿宋_GB2312" w:eastAsia="仿宋_GB2312" w:cs="仿宋_GB2312"/>
          <w:sz w:val="28"/>
          <w:szCs w:val="28"/>
        </w:rPr>
        <w:tab/>
      </w:r>
      <w:r>
        <w:rPr>
          <w:rFonts w:hint="eastAsia" w:ascii="仿宋_GB2312" w:eastAsia="仿宋_GB2312"/>
          <w:sz w:val="28"/>
          <w:szCs w:val="28"/>
        </w:rPr>
        <w:tab/>
      </w:r>
    </w:p>
    <w:p w14:paraId="1A1D93F6">
      <w:pPr>
        <w:rPr>
          <w:rFonts w:ascii="仿宋_GB2312" w:eastAsia="仿宋_GB2312"/>
          <w:sz w:val="28"/>
          <w:szCs w:val="28"/>
        </w:rPr>
      </w:pPr>
      <w:r>
        <w:rPr>
          <w:rFonts w:hint="eastAsia" w:ascii="仿宋_GB2312" w:eastAsia="仿宋_GB2312"/>
          <w:sz w:val="28"/>
          <w:szCs w:val="28"/>
        </w:rPr>
        <w:t>136.固体基质的功能有（   ）。</w:t>
      </w:r>
    </w:p>
    <w:p w14:paraId="220A460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A.固定</w:t>
      </w:r>
      <w:r>
        <w:rPr>
          <w:rFonts w:hint="eastAsia" w:ascii="仿宋_GB2312" w:hAnsi="仿宋_GB2312" w:eastAsia="仿宋_GB2312" w:cs="仿宋_GB2312"/>
          <w:sz w:val="28"/>
          <w:szCs w:val="28"/>
        </w:rPr>
        <w:tab/>
      </w:r>
    </w:p>
    <w:p w14:paraId="491C922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B.持水</w:t>
      </w:r>
      <w:r>
        <w:rPr>
          <w:rFonts w:hint="eastAsia" w:ascii="仿宋_GB2312" w:hAnsi="仿宋_GB2312" w:eastAsia="仿宋_GB2312" w:cs="仿宋_GB2312"/>
          <w:sz w:val="28"/>
          <w:szCs w:val="28"/>
        </w:rPr>
        <w:tab/>
      </w:r>
    </w:p>
    <w:p w14:paraId="1A83D4C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C.通气</w:t>
      </w:r>
      <w:r>
        <w:rPr>
          <w:rFonts w:hint="eastAsia" w:ascii="仿宋_GB2312" w:hAnsi="仿宋_GB2312" w:eastAsia="仿宋_GB2312" w:cs="仿宋_GB2312"/>
          <w:sz w:val="28"/>
          <w:szCs w:val="28"/>
        </w:rPr>
        <w:tab/>
      </w:r>
    </w:p>
    <w:p w14:paraId="40C734F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D.缓冲</w:t>
      </w:r>
      <w:r>
        <w:rPr>
          <w:rFonts w:hint="eastAsia" w:ascii="仿宋_GB2312" w:hAnsi="仿宋_GB2312" w:eastAsia="仿宋_GB2312" w:cs="仿宋_GB2312"/>
          <w:sz w:val="28"/>
          <w:szCs w:val="28"/>
        </w:rPr>
        <w:tab/>
      </w:r>
    </w:p>
    <w:p w14:paraId="7163F657">
      <w:r>
        <w:rPr>
          <w:rFonts w:hint="eastAsia" w:ascii="仿宋_GB2312" w:eastAsia="仿宋_GB2312"/>
          <w:sz w:val="28"/>
          <w:szCs w:val="28"/>
        </w:rPr>
        <w:t>137.浓缩100～200倍的母液通常为（  ）。</w:t>
      </w:r>
      <w:r>
        <w:rPr>
          <w:rFonts w:hint="eastAsia" w:ascii="仿宋_GB2312" w:eastAsia="仿宋_GB2312"/>
          <w:sz w:val="28"/>
          <w:szCs w:val="28"/>
        </w:rPr>
        <w:tab/>
      </w:r>
      <w:r>
        <w:rPr>
          <w:rFonts w:hint="eastAsia"/>
        </w:rPr>
        <w:tab/>
      </w:r>
    </w:p>
    <w:p w14:paraId="294FAB1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A.A母液</w:t>
      </w:r>
      <w:r>
        <w:rPr>
          <w:rFonts w:hint="eastAsia" w:ascii="仿宋_GB2312" w:hAnsi="仿宋_GB2312" w:eastAsia="仿宋_GB2312" w:cs="仿宋_GB2312"/>
          <w:sz w:val="28"/>
          <w:szCs w:val="28"/>
        </w:rPr>
        <w:tab/>
      </w:r>
    </w:p>
    <w:p w14:paraId="16E6F00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B.B母液</w:t>
      </w:r>
      <w:r>
        <w:rPr>
          <w:rFonts w:hint="eastAsia" w:ascii="仿宋_GB2312" w:hAnsi="仿宋_GB2312" w:eastAsia="仿宋_GB2312" w:cs="仿宋_GB2312"/>
          <w:sz w:val="28"/>
          <w:szCs w:val="28"/>
        </w:rPr>
        <w:tab/>
      </w:r>
    </w:p>
    <w:p w14:paraId="49B0C2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C.C母液</w:t>
      </w:r>
    </w:p>
    <w:p w14:paraId="6F2BEF94">
      <w:pPr>
        <w:spacing w:line="360" w:lineRule="auto"/>
        <w:ind w:firstLine="280" w:firstLineChars="100"/>
        <w:rPr>
          <w:sz w:val="20"/>
        </w:rPr>
      </w:pPr>
      <w:r>
        <w:rPr>
          <w:rFonts w:hint="eastAsia" w:ascii="仿宋_GB2312" w:hAnsi="仿宋_GB2312" w:eastAsia="仿宋_GB2312" w:cs="仿宋_GB2312"/>
          <w:sz w:val="28"/>
          <w:szCs w:val="28"/>
        </w:rPr>
        <w:t>D.D母液</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r>
        <w:rPr>
          <w:rFonts w:hint="eastAsia"/>
        </w:rPr>
        <w:tab/>
      </w:r>
    </w:p>
    <w:p w14:paraId="1BFB5D56">
      <w:pPr>
        <w:rPr>
          <w:rFonts w:ascii="仿宋_GB2312" w:eastAsia="仿宋_GB2312"/>
          <w:sz w:val="28"/>
          <w:szCs w:val="28"/>
        </w:rPr>
      </w:pPr>
      <w:r>
        <w:rPr>
          <w:rFonts w:hint="eastAsia" w:ascii="仿宋_GB2312" w:eastAsia="仿宋_GB2312"/>
          <w:sz w:val="28"/>
          <w:szCs w:val="28"/>
        </w:rPr>
        <w:t>138.向营养液人工增氧的措施有（   ）。</w:t>
      </w:r>
    </w:p>
    <w:p w14:paraId="6298F6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A.循环流动</w:t>
      </w:r>
      <w:r>
        <w:rPr>
          <w:rFonts w:hint="eastAsia" w:ascii="仿宋_GB2312" w:hAnsi="仿宋_GB2312" w:eastAsia="仿宋_GB2312" w:cs="仿宋_GB2312"/>
          <w:sz w:val="28"/>
          <w:szCs w:val="28"/>
        </w:rPr>
        <w:tab/>
      </w:r>
    </w:p>
    <w:p w14:paraId="7A9E131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B.压缩空气</w:t>
      </w:r>
      <w:r>
        <w:rPr>
          <w:rFonts w:hint="eastAsia" w:ascii="仿宋_GB2312" w:hAnsi="仿宋_GB2312" w:eastAsia="仿宋_GB2312" w:cs="仿宋_GB2312"/>
          <w:sz w:val="28"/>
          <w:szCs w:val="28"/>
        </w:rPr>
        <w:tab/>
      </w:r>
    </w:p>
    <w:p w14:paraId="7F209B1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C.落差</w:t>
      </w:r>
      <w:r>
        <w:rPr>
          <w:rFonts w:hint="eastAsia" w:ascii="仿宋_GB2312" w:hAnsi="仿宋_GB2312" w:eastAsia="仿宋_GB2312" w:cs="仿宋_GB2312"/>
          <w:sz w:val="28"/>
          <w:szCs w:val="28"/>
        </w:rPr>
        <w:tab/>
      </w:r>
    </w:p>
    <w:p w14:paraId="66C6073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D.喷雾</w:t>
      </w:r>
      <w:r>
        <w:rPr>
          <w:rFonts w:hint="eastAsia" w:ascii="仿宋_GB2312" w:hAnsi="仿宋_GB2312" w:eastAsia="仿宋_GB2312" w:cs="仿宋_GB2312"/>
          <w:sz w:val="28"/>
          <w:szCs w:val="28"/>
        </w:rPr>
        <w:tab/>
      </w:r>
    </w:p>
    <w:p w14:paraId="02ACB876">
      <w:pPr>
        <w:rPr>
          <w:rFonts w:ascii="仿宋_GB2312" w:eastAsia="仿宋_GB2312"/>
          <w:sz w:val="28"/>
          <w:szCs w:val="28"/>
        </w:rPr>
      </w:pPr>
      <w:r>
        <w:rPr>
          <w:rFonts w:hint="eastAsia" w:ascii="仿宋_GB2312" w:eastAsia="仿宋_GB2312"/>
          <w:sz w:val="28"/>
          <w:szCs w:val="28"/>
        </w:rPr>
        <w:t>139.母液的种类一般有（   ）。</w:t>
      </w:r>
    </w:p>
    <w:p w14:paraId="67FDFC5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A.A母液</w:t>
      </w:r>
      <w:r>
        <w:rPr>
          <w:rFonts w:hint="eastAsia" w:ascii="仿宋_GB2312" w:hAnsi="仿宋_GB2312" w:eastAsia="仿宋_GB2312" w:cs="仿宋_GB2312"/>
          <w:sz w:val="28"/>
          <w:szCs w:val="28"/>
        </w:rPr>
        <w:tab/>
      </w:r>
    </w:p>
    <w:p w14:paraId="3CEA119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B.B母液</w:t>
      </w:r>
      <w:r>
        <w:rPr>
          <w:rFonts w:hint="eastAsia" w:ascii="仿宋_GB2312" w:hAnsi="仿宋_GB2312" w:eastAsia="仿宋_GB2312" w:cs="仿宋_GB2312"/>
          <w:sz w:val="28"/>
          <w:szCs w:val="28"/>
        </w:rPr>
        <w:tab/>
      </w:r>
    </w:p>
    <w:p w14:paraId="6B40904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C.C母液</w:t>
      </w:r>
      <w:r>
        <w:rPr>
          <w:rFonts w:hint="eastAsia" w:ascii="仿宋_GB2312" w:hAnsi="仿宋_GB2312" w:eastAsia="仿宋_GB2312" w:cs="仿宋_GB2312"/>
          <w:sz w:val="28"/>
          <w:szCs w:val="28"/>
        </w:rPr>
        <w:tab/>
      </w:r>
    </w:p>
    <w:p w14:paraId="20E7A70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D.D母液</w:t>
      </w:r>
      <w:r>
        <w:rPr>
          <w:rFonts w:hint="eastAsia" w:ascii="仿宋_GB2312" w:hAnsi="仿宋_GB2312" w:eastAsia="仿宋_GB2312" w:cs="仿宋_GB2312"/>
          <w:sz w:val="28"/>
          <w:szCs w:val="28"/>
        </w:rPr>
        <w:tab/>
      </w:r>
    </w:p>
    <w:p w14:paraId="29D926BC">
      <w:pPr>
        <w:rPr>
          <w:rFonts w:ascii="仿宋_GB2312" w:eastAsia="仿宋_GB2312"/>
          <w:sz w:val="28"/>
          <w:szCs w:val="28"/>
        </w:rPr>
      </w:pPr>
      <w:r>
        <w:rPr>
          <w:rFonts w:hint="eastAsia" w:ascii="仿宋_GB2312" w:eastAsia="仿宋_GB2312"/>
          <w:sz w:val="28"/>
          <w:szCs w:val="28"/>
        </w:rPr>
        <w:t>140.下列为硬水的是（  ）。</w:t>
      </w:r>
    </w:p>
    <w:p w14:paraId="7E30635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A.6°的水</w:t>
      </w:r>
      <w:r>
        <w:rPr>
          <w:rFonts w:hint="eastAsia" w:ascii="仿宋_GB2312" w:hAnsi="仿宋_GB2312" w:eastAsia="仿宋_GB2312" w:cs="仿宋_GB2312"/>
          <w:sz w:val="28"/>
          <w:szCs w:val="28"/>
        </w:rPr>
        <w:tab/>
      </w:r>
    </w:p>
    <w:p w14:paraId="27745A3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B.9°的水</w:t>
      </w:r>
      <w:r>
        <w:rPr>
          <w:rFonts w:hint="eastAsia" w:ascii="仿宋_GB2312" w:hAnsi="仿宋_GB2312" w:eastAsia="仿宋_GB2312" w:cs="仿宋_GB2312"/>
          <w:sz w:val="28"/>
          <w:szCs w:val="28"/>
        </w:rPr>
        <w:tab/>
      </w:r>
    </w:p>
    <w:p w14:paraId="2D6457A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C.11°的水</w:t>
      </w:r>
      <w:r>
        <w:rPr>
          <w:rFonts w:hint="eastAsia" w:ascii="仿宋_GB2312" w:hAnsi="仿宋_GB2312" w:eastAsia="仿宋_GB2312" w:cs="仿宋_GB2312"/>
          <w:sz w:val="28"/>
          <w:szCs w:val="28"/>
        </w:rPr>
        <w:tab/>
      </w:r>
    </w:p>
    <w:p w14:paraId="65E68A4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D.14°的水</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7B5C2A4C">
      <w:r>
        <w:rPr>
          <w:rFonts w:hint="eastAsia" w:ascii="仿宋_GB2312" w:eastAsia="仿宋_GB2312"/>
          <w:sz w:val="28"/>
          <w:szCs w:val="28"/>
        </w:rPr>
        <w:t>141.生产上，营养液的种类可分为（  ）。</w:t>
      </w:r>
      <w:r>
        <w:rPr>
          <w:rFonts w:hint="eastAsia"/>
        </w:rPr>
        <w:tab/>
      </w:r>
    </w:p>
    <w:p w14:paraId="58EC379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A.原液</w:t>
      </w:r>
      <w:r>
        <w:rPr>
          <w:rFonts w:hint="eastAsia" w:ascii="仿宋_GB2312" w:hAnsi="仿宋_GB2312" w:eastAsia="仿宋_GB2312" w:cs="仿宋_GB2312"/>
          <w:sz w:val="28"/>
          <w:szCs w:val="28"/>
        </w:rPr>
        <w:tab/>
      </w:r>
    </w:p>
    <w:p w14:paraId="2F8768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B.母液</w:t>
      </w:r>
      <w:r>
        <w:rPr>
          <w:rFonts w:hint="eastAsia" w:ascii="仿宋_GB2312" w:hAnsi="仿宋_GB2312" w:eastAsia="仿宋_GB2312" w:cs="仿宋_GB2312"/>
          <w:sz w:val="28"/>
          <w:szCs w:val="28"/>
        </w:rPr>
        <w:tab/>
      </w:r>
    </w:p>
    <w:p w14:paraId="6B1A180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C.工作液</w:t>
      </w:r>
      <w:r>
        <w:rPr>
          <w:rFonts w:hint="eastAsia" w:ascii="仿宋_GB2312" w:hAnsi="仿宋_GB2312" w:eastAsia="仿宋_GB2312" w:cs="仿宋_GB2312"/>
          <w:sz w:val="28"/>
          <w:szCs w:val="28"/>
        </w:rPr>
        <w:tab/>
      </w:r>
    </w:p>
    <w:p w14:paraId="720F29D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D.纯净液</w:t>
      </w:r>
      <w:r>
        <w:rPr>
          <w:rFonts w:hint="eastAsia" w:ascii="仿宋_GB2312" w:hAnsi="仿宋_GB2312" w:eastAsia="仿宋_GB2312" w:cs="仿宋_GB2312"/>
          <w:sz w:val="28"/>
          <w:szCs w:val="28"/>
        </w:rPr>
        <w:tab/>
      </w:r>
    </w:p>
    <w:p w14:paraId="2201D92D">
      <w:pPr>
        <w:rPr>
          <w:rFonts w:ascii="仿宋_GB2312" w:eastAsia="仿宋_GB2312"/>
          <w:sz w:val="28"/>
          <w:szCs w:val="28"/>
        </w:rPr>
      </w:pPr>
      <w:r>
        <w:rPr>
          <w:rFonts w:hint="eastAsia" w:ascii="仿宋_GB2312" w:eastAsia="仿宋_GB2312"/>
          <w:sz w:val="28"/>
          <w:szCs w:val="28"/>
        </w:rPr>
        <w:t>142.营养液的组成原则有（  ）。</w:t>
      </w:r>
    </w:p>
    <w:p w14:paraId="5C05B66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A.水源、水质符合要求</w:t>
      </w:r>
      <w:r>
        <w:rPr>
          <w:rFonts w:hint="eastAsia" w:ascii="仿宋_GB2312" w:hAnsi="仿宋_GB2312" w:eastAsia="仿宋_GB2312" w:cs="仿宋_GB2312"/>
          <w:sz w:val="28"/>
          <w:szCs w:val="28"/>
        </w:rPr>
        <w:tab/>
      </w:r>
    </w:p>
    <w:p w14:paraId="357EE1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B.含有植物必需的各元素</w:t>
      </w:r>
      <w:r>
        <w:rPr>
          <w:rFonts w:hint="eastAsia" w:ascii="仿宋_GB2312" w:hAnsi="仿宋_GB2312" w:eastAsia="仿宋_GB2312" w:cs="仿宋_GB2312"/>
          <w:sz w:val="28"/>
          <w:szCs w:val="28"/>
        </w:rPr>
        <w:tab/>
      </w:r>
    </w:p>
    <w:p w14:paraId="4B962DC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C.各元素呈可吸收的状态</w:t>
      </w:r>
      <w:r>
        <w:rPr>
          <w:rFonts w:hint="eastAsia" w:ascii="仿宋_GB2312" w:hAnsi="仿宋_GB2312" w:eastAsia="仿宋_GB2312" w:cs="仿宋_GB2312"/>
          <w:sz w:val="28"/>
          <w:szCs w:val="28"/>
        </w:rPr>
        <w:tab/>
      </w:r>
    </w:p>
    <w:p w14:paraId="3F5B672B">
      <w:pPr>
        <w:spacing w:line="360" w:lineRule="auto"/>
        <w:ind w:firstLine="280" w:firstLineChars="100"/>
        <w:rPr>
          <w:rFonts w:ascii="仿宋_GB2312" w:eastAsia="仿宋_GB2312"/>
          <w:sz w:val="28"/>
          <w:szCs w:val="28"/>
        </w:rPr>
      </w:pPr>
      <w:r>
        <w:rPr>
          <w:rFonts w:hint="eastAsia" w:ascii="仿宋_GB2312" w:hAnsi="仿宋_GB2312" w:eastAsia="仿宋_GB2312" w:cs="仿宋_GB2312"/>
          <w:sz w:val="28"/>
          <w:szCs w:val="28"/>
        </w:rPr>
        <w:t>D.具有适宜的EC和pH值</w:t>
      </w:r>
      <w:r>
        <w:rPr>
          <w:rFonts w:hint="eastAsia" w:ascii="仿宋_GB2312" w:hAnsi="仿宋_GB2312" w:eastAsia="仿宋_GB2312" w:cs="仿宋_GB2312"/>
          <w:sz w:val="28"/>
          <w:szCs w:val="28"/>
        </w:rPr>
        <w:tab/>
      </w:r>
      <w:r>
        <w:rPr>
          <w:rFonts w:hint="eastAsia"/>
        </w:rPr>
        <w:tab/>
      </w:r>
    </w:p>
    <w:p w14:paraId="2AF06C63">
      <w:pPr>
        <w:spacing w:line="360" w:lineRule="auto"/>
        <w:rPr>
          <w:rFonts w:ascii="仿宋" w:hAnsi="仿宋" w:eastAsia="仿宋"/>
          <w:sz w:val="28"/>
          <w:szCs w:val="28"/>
        </w:rPr>
      </w:pPr>
      <w:r>
        <w:rPr>
          <w:rFonts w:hint="eastAsia" w:ascii="仿宋_GB2312" w:eastAsia="仿宋_GB2312"/>
          <w:sz w:val="28"/>
          <w:szCs w:val="28"/>
        </w:rPr>
        <w:t>143.</w:t>
      </w:r>
      <w:r>
        <w:rPr>
          <w:rFonts w:hint="eastAsia" w:ascii="仿宋" w:hAnsi="仿宋" w:eastAsia="仿宋"/>
          <w:sz w:val="28"/>
          <w:szCs w:val="28"/>
        </w:rPr>
        <w:t>果树嫁接的方法很多，常见的有（  ）</w:t>
      </w:r>
    </w:p>
    <w:p w14:paraId="108AA1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A.枝接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5B33D4E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B.芽接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0554269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C.靠接</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7183B2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D.根接</w:t>
      </w:r>
      <w:r>
        <w:rPr>
          <w:rFonts w:hint="eastAsia" w:ascii="仿宋_GB2312" w:hAnsi="仿宋_GB2312" w:eastAsia="仿宋_GB2312" w:cs="仿宋_GB2312"/>
          <w:sz w:val="28"/>
          <w:szCs w:val="28"/>
        </w:rPr>
        <w:tab/>
      </w:r>
    </w:p>
    <w:p w14:paraId="5449CD55">
      <w:pPr>
        <w:spacing w:line="360" w:lineRule="auto"/>
        <w:rPr>
          <w:rFonts w:ascii="仿宋" w:hAnsi="仿宋" w:eastAsia="仿宋"/>
          <w:sz w:val="28"/>
          <w:szCs w:val="28"/>
        </w:rPr>
      </w:pPr>
      <w:r>
        <w:rPr>
          <w:rFonts w:hint="eastAsia" w:ascii="仿宋_GB2312" w:eastAsia="仿宋_GB2312"/>
          <w:sz w:val="28"/>
          <w:szCs w:val="28"/>
        </w:rPr>
        <w:t>144.</w:t>
      </w:r>
      <w:r>
        <w:rPr>
          <w:rFonts w:hint="eastAsia" w:ascii="仿宋" w:hAnsi="仿宋" w:eastAsia="仿宋"/>
          <w:sz w:val="28"/>
          <w:szCs w:val="28"/>
        </w:rPr>
        <w:t>主要经济树木常用的砧木配对正确的有（  ）。</w:t>
      </w:r>
    </w:p>
    <w:p w14:paraId="742B0AE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A.苹果—海棠果</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385678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B.桃—山定子</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180C3CF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C.梨—秋子梨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5F4C8D9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D.葡萄—贝达</w:t>
      </w:r>
    </w:p>
    <w:p w14:paraId="5BD5AD68">
      <w:pPr>
        <w:rPr>
          <w:rFonts w:ascii="仿宋_GB2312" w:eastAsia="仿宋_GB2312"/>
          <w:sz w:val="28"/>
          <w:szCs w:val="28"/>
        </w:rPr>
      </w:pPr>
      <w:r>
        <w:rPr>
          <w:rFonts w:hint="eastAsia" w:ascii="仿宋_GB2312" w:eastAsia="仿宋_GB2312"/>
          <w:sz w:val="28"/>
          <w:szCs w:val="28"/>
        </w:rPr>
        <w:t>145.配制营养液用水的质量指的是（  ）。</w:t>
      </w:r>
    </w:p>
    <w:p w14:paraId="39AAB8A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A.硬度和pH值</w:t>
      </w:r>
      <w:r>
        <w:rPr>
          <w:rFonts w:hint="eastAsia" w:ascii="仿宋_GB2312" w:hAnsi="仿宋_GB2312" w:eastAsia="仿宋_GB2312" w:cs="仿宋_GB2312"/>
          <w:sz w:val="28"/>
          <w:szCs w:val="28"/>
        </w:rPr>
        <w:tab/>
      </w:r>
    </w:p>
    <w:p w14:paraId="63A171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B.溶存氧和氯化钠</w:t>
      </w:r>
      <w:r>
        <w:rPr>
          <w:rFonts w:hint="eastAsia" w:ascii="仿宋_GB2312" w:hAnsi="仿宋_GB2312" w:eastAsia="仿宋_GB2312" w:cs="仿宋_GB2312"/>
          <w:sz w:val="28"/>
          <w:szCs w:val="28"/>
        </w:rPr>
        <w:tab/>
      </w:r>
    </w:p>
    <w:p w14:paraId="3DF96C7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C.余氯和重金属  </w:t>
      </w:r>
    </w:p>
    <w:p w14:paraId="7870C34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D.EC值</w:t>
      </w:r>
    </w:p>
    <w:p w14:paraId="3BF69BD0">
      <w:pPr>
        <w:rPr>
          <w:rFonts w:ascii="仿宋_GB2312" w:eastAsia="仿宋_GB2312"/>
          <w:sz w:val="28"/>
          <w:szCs w:val="28"/>
        </w:rPr>
      </w:pPr>
      <w:r>
        <w:rPr>
          <w:rFonts w:hint="eastAsia" w:ascii="仿宋_GB2312" w:eastAsia="仿宋_GB2312"/>
          <w:sz w:val="28"/>
          <w:szCs w:val="28"/>
        </w:rPr>
        <w:t>146.需2～3年轮作的蔬菜有(    )。</w:t>
      </w:r>
    </w:p>
    <w:p w14:paraId="3E8AE6B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A.马铃薯 </w:t>
      </w:r>
    </w:p>
    <w:p w14:paraId="473A238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B.黄瓜 </w:t>
      </w:r>
    </w:p>
    <w:p w14:paraId="5DB207B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C.辣椒 </w:t>
      </w:r>
    </w:p>
    <w:p w14:paraId="5446FA3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D.西瓜  </w:t>
      </w:r>
    </w:p>
    <w:p w14:paraId="0C618AAB">
      <w:pPr>
        <w:rPr>
          <w:rFonts w:ascii="仿宋_GB2312" w:eastAsia="仿宋_GB2312"/>
          <w:sz w:val="28"/>
          <w:szCs w:val="28"/>
        </w:rPr>
      </w:pPr>
      <w:r>
        <w:rPr>
          <w:rFonts w:hint="eastAsia" w:ascii="仿宋_GB2312" w:eastAsia="仿宋_GB2312"/>
          <w:sz w:val="28"/>
          <w:szCs w:val="28"/>
        </w:rPr>
        <w:t>147.下列关于软化设施的描述正确的选项是(   )。</w:t>
      </w:r>
    </w:p>
    <w:p w14:paraId="225F5A0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A.软化设施包括软化室、窖、阳畦及栽培床等 </w:t>
      </w:r>
    </w:p>
    <w:p w14:paraId="3C5EBB9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B.软化场地温暖潮湿、遮光密闭，黑暗或半黑暗，可使蔬菜整体或部分组织软化生长，获得黄色或者白色的柔软鲜嫩的产品 </w:t>
      </w:r>
    </w:p>
    <w:p w14:paraId="3962007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C.可使蔬菜整体或部分组织软化生长，获得黄色或者白色的柔软鲜嫩的产品 </w:t>
      </w:r>
    </w:p>
    <w:p w14:paraId="3865E83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D.以上都不对</w:t>
      </w:r>
    </w:p>
    <w:p w14:paraId="06B2B3F3">
      <w:pPr>
        <w:rPr>
          <w:rFonts w:ascii="仿宋_GB2312" w:eastAsia="仿宋_GB2312"/>
          <w:sz w:val="28"/>
          <w:szCs w:val="28"/>
        </w:rPr>
      </w:pPr>
      <w:r>
        <w:rPr>
          <w:rFonts w:hint="eastAsia" w:ascii="仿宋_GB2312" w:eastAsia="仿宋_GB2312"/>
          <w:sz w:val="28"/>
          <w:szCs w:val="28"/>
        </w:rPr>
        <w:t>148.下列哪些蔬菜是茄果类蔬菜(   )。</w:t>
      </w:r>
    </w:p>
    <w:p w14:paraId="4A4FE67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A.番茄 </w:t>
      </w:r>
    </w:p>
    <w:p w14:paraId="75CFDDC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B.茄子 </w:t>
      </w:r>
    </w:p>
    <w:p w14:paraId="0528D1D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C.辣椒 </w:t>
      </w:r>
    </w:p>
    <w:p w14:paraId="22EAC0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D.马铃薯 </w:t>
      </w:r>
    </w:p>
    <w:p w14:paraId="5F43D62E">
      <w:pPr>
        <w:rPr>
          <w:rFonts w:ascii="仿宋_GB2312" w:eastAsia="仿宋_GB2312"/>
          <w:sz w:val="28"/>
          <w:szCs w:val="28"/>
        </w:rPr>
      </w:pPr>
      <w:r>
        <w:rPr>
          <w:rFonts w:hint="eastAsia" w:ascii="仿宋_GB2312" w:eastAsia="仿宋_GB2312"/>
          <w:sz w:val="28"/>
          <w:szCs w:val="28"/>
        </w:rPr>
        <w:t>149.叶菜类霜霉病侵染循环主要包括(    )。</w:t>
      </w:r>
    </w:p>
    <w:p w14:paraId="7239F8D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A.病菌在病残体或附着在种子上越冬，也能在田间病株上越冬 </w:t>
      </w:r>
    </w:p>
    <w:p w14:paraId="07947CE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B.再侵染来源是田间发病的病株，即病部产生的孢子囊及孢囊孢子 </w:t>
      </w:r>
    </w:p>
    <w:p w14:paraId="4CED02A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C.传播媒介主要是昆虫 </w:t>
      </w:r>
    </w:p>
    <w:p w14:paraId="219D597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D.侵入途径是病菌从气孔或直接侵入 </w:t>
      </w:r>
    </w:p>
    <w:p w14:paraId="3B49AD14">
      <w:pPr>
        <w:spacing w:line="360" w:lineRule="auto"/>
        <w:rPr>
          <w:rFonts w:ascii="仿宋" w:hAnsi="仿宋" w:eastAsia="仿宋"/>
          <w:sz w:val="28"/>
          <w:szCs w:val="28"/>
        </w:rPr>
      </w:pPr>
      <w:r>
        <w:rPr>
          <w:rFonts w:hint="eastAsia" w:ascii="仿宋_GB2312" w:eastAsia="仿宋_GB2312"/>
          <w:sz w:val="28"/>
          <w:szCs w:val="28"/>
        </w:rPr>
        <w:t>150.</w:t>
      </w:r>
      <w:r>
        <w:rPr>
          <w:rFonts w:hint="eastAsia" w:ascii="仿宋" w:hAnsi="仿宋" w:eastAsia="仿宋"/>
          <w:sz w:val="28"/>
          <w:szCs w:val="28"/>
        </w:rPr>
        <w:t>果树嫁接在选择接穗时，应注意选择（   ）。</w:t>
      </w:r>
    </w:p>
    <w:p w14:paraId="767C84F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A.适宜当地生态条件，市场前景好的良种</w:t>
      </w:r>
      <w:r>
        <w:rPr>
          <w:rFonts w:hint="eastAsia" w:ascii="仿宋_GB2312" w:hAnsi="仿宋_GB2312" w:eastAsia="仿宋_GB2312" w:cs="仿宋_GB2312"/>
          <w:sz w:val="28"/>
          <w:szCs w:val="28"/>
        </w:rPr>
        <w:tab/>
      </w:r>
    </w:p>
    <w:p w14:paraId="7388757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B.结果一年以上、性状稳定的母树</w:t>
      </w:r>
    </w:p>
    <w:p w14:paraId="31FE3FB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C.无检疫性病虫害的母树</w:t>
      </w:r>
    </w:p>
    <w:p w14:paraId="672D010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D.树冠内膛中上部、枝芽饱满的一年生枝</w:t>
      </w:r>
    </w:p>
    <w:p w14:paraId="4E3E0271">
      <w:pPr>
        <w:spacing w:line="360" w:lineRule="auto"/>
        <w:rPr>
          <w:rFonts w:ascii="仿宋" w:hAnsi="仿宋" w:eastAsia="仿宋"/>
          <w:sz w:val="28"/>
          <w:szCs w:val="28"/>
        </w:rPr>
      </w:pPr>
      <w:r>
        <w:rPr>
          <w:rFonts w:hint="eastAsia" w:ascii="仿宋_GB2312" w:eastAsia="仿宋_GB2312"/>
          <w:sz w:val="28"/>
          <w:szCs w:val="28"/>
        </w:rPr>
        <w:t>151.</w:t>
      </w:r>
      <w:r>
        <w:rPr>
          <w:rFonts w:hint="eastAsia" w:ascii="仿宋" w:hAnsi="仿宋" w:eastAsia="仿宋"/>
          <w:sz w:val="28"/>
          <w:szCs w:val="28"/>
        </w:rPr>
        <w:t>关于枝接的时期，描述正确的是（   ）。</w:t>
      </w:r>
    </w:p>
    <w:p w14:paraId="03047B1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A.枝接一般在早春树液开始流动，芽尚未萌动时为宜</w:t>
      </w:r>
    </w:p>
    <w:p w14:paraId="4304C8C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B.北方落叶树在3月下旬至5月上旬， 南方落叶树在2-4月份</w:t>
      </w:r>
    </w:p>
    <w:p w14:paraId="67A2BB8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C.常绿树在早春发芽前及每次枝梢老熟后均可进行</w:t>
      </w:r>
    </w:p>
    <w:p w14:paraId="556D691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D.北方落叶树在夏季也可用嫩枝进行枝接</w:t>
      </w:r>
    </w:p>
    <w:p w14:paraId="4014C4C3">
      <w:pPr>
        <w:rPr>
          <w:rFonts w:ascii="仿宋" w:hAnsi="仿宋" w:eastAsia="仿宋"/>
          <w:sz w:val="28"/>
          <w:szCs w:val="28"/>
        </w:rPr>
      </w:pPr>
      <w:r>
        <w:rPr>
          <w:rFonts w:hint="eastAsia" w:ascii="仿宋_GB2312" w:eastAsia="仿宋_GB2312"/>
          <w:sz w:val="28"/>
          <w:szCs w:val="28"/>
        </w:rPr>
        <w:t>152.</w:t>
      </w:r>
      <w:r>
        <w:rPr>
          <w:rFonts w:hint="eastAsia" w:ascii="仿宋" w:hAnsi="仿宋" w:eastAsia="仿宋"/>
          <w:sz w:val="28"/>
          <w:szCs w:val="28"/>
        </w:rPr>
        <w:t>果树嫁接苗会表现出哪些特点（  ）。</w:t>
      </w:r>
    </w:p>
    <w:p w14:paraId="5E588B8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A.且生长快，树势强，结果早</w:t>
      </w:r>
    </w:p>
    <w:p w14:paraId="09BC809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B.增强栽培品种的适应性抗逆性</w:t>
      </w:r>
    </w:p>
    <w:p w14:paraId="669E9B7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C.实现矮化或乔化， 以满足栽培上或消费上的不同需求</w:t>
      </w:r>
      <w:r>
        <w:rPr>
          <w:rFonts w:hint="eastAsia" w:ascii="仿宋_GB2312" w:hAnsi="仿宋_GB2312" w:eastAsia="仿宋_GB2312" w:cs="仿宋_GB2312"/>
          <w:sz w:val="28"/>
          <w:szCs w:val="28"/>
        </w:rPr>
        <w:tab/>
      </w:r>
    </w:p>
    <w:p w14:paraId="0690A7B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D.多数砧木种子繁殖系数大，便于生产上大面积推广种植</w:t>
      </w:r>
    </w:p>
    <w:p w14:paraId="223F99DF">
      <w:pPr>
        <w:rPr>
          <w:rFonts w:ascii="仿宋" w:hAnsi="仿宋" w:eastAsia="仿宋"/>
          <w:sz w:val="28"/>
          <w:szCs w:val="28"/>
        </w:rPr>
      </w:pPr>
      <w:r>
        <w:rPr>
          <w:rFonts w:hint="eastAsia" w:ascii="仿宋_GB2312" w:eastAsia="仿宋_GB2312"/>
          <w:sz w:val="28"/>
          <w:szCs w:val="28"/>
        </w:rPr>
        <w:t>153.</w:t>
      </w:r>
      <w:r>
        <w:rPr>
          <w:rFonts w:hint="eastAsia" w:ascii="仿宋" w:hAnsi="仿宋" w:eastAsia="仿宋"/>
          <w:sz w:val="28"/>
          <w:szCs w:val="28"/>
        </w:rPr>
        <w:t>果树嫁接最适宜的时期是（  ）。</w:t>
      </w:r>
    </w:p>
    <w:p w14:paraId="607A158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A.春季</w:t>
      </w:r>
      <w:r>
        <w:rPr>
          <w:rFonts w:hint="eastAsia" w:ascii="仿宋_GB2312" w:hAnsi="仿宋_GB2312" w:eastAsia="仿宋_GB2312" w:cs="仿宋_GB2312"/>
          <w:sz w:val="28"/>
          <w:szCs w:val="28"/>
        </w:rPr>
        <w:tab/>
      </w:r>
    </w:p>
    <w:p w14:paraId="31F95AE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B.夏季</w:t>
      </w:r>
      <w:r>
        <w:rPr>
          <w:rFonts w:hint="eastAsia" w:ascii="仿宋_GB2312" w:hAnsi="仿宋_GB2312" w:eastAsia="仿宋_GB2312" w:cs="仿宋_GB2312"/>
          <w:sz w:val="28"/>
          <w:szCs w:val="28"/>
        </w:rPr>
        <w:tab/>
      </w:r>
    </w:p>
    <w:p w14:paraId="1035116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C.秋季</w:t>
      </w:r>
      <w:r>
        <w:rPr>
          <w:rFonts w:hint="eastAsia" w:ascii="仿宋_GB2312" w:hAnsi="仿宋_GB2312" w:eastAsia="仿宋_GB2312" w:cs="仿宋_GB2312"/>
          <w:sz w:val="28"/>
          <w:szCs w:val="28"/>
        </w:rPr>
        <w:tab/>
      </w:r>
    </w:p>
    <w:p w14:paraId="3E9D4B8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D.冬季</w:t>
      </w:r>
    </w:p>
    <w:p w14:paraId="209431CD">
      <w:pPr>
        <w:rPr>
          <w:rFonts w:ascii="仿宋_GB2312" w:eastAsia="仿宋_GB2312"/>
          <w:sz w:val="28"/>
          <w:szCs w:val="28"/>
        </w:rPr>
      </w:pPr>
      <w:r>
        <w:rPr>
          <w:rFonts w:hint="eastAsia" w:ascii="仿宋_GB2312" w:eastAsia="仿宋_GB2312"/>
          <w:sz w:val="28"/>
          <w:szCs w:val="28"/>
        </w:rPr>
        <w:t>154.下列关于西葫芦的化瓜现象描述正确的是（   ）。</w:t>
      </w:r>
    </w:p>
    <w:p w14:paraId="7BD768B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A.设施西葫芦栽培过程中容易出现化瓜现象。即在刚坐下的瓜纽或长到一定大小的幼瓜生长停止，变黄萎缩，最后干枯而死或脱落 </w:t>
      </w:r>
    </w:p>
    <w:p w14:paraId="030FB9B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B.化瓜原因是花粉发育不良；授粉受精不良</w:t>
      </w:r>
    </w:p>
    <w:p w14:paraId="3FEF82E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C.防治对策是培育壮苗；适时整枝、疏瓜，减少养分消耗；根据植株长势采收，保持秧果生长平衡</w:t>
      </w:r>
    </w:p>
    <w:p w14:paraId="288773E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D.及时进行人工授粉或激素处理可减少化瓜现象</w:t>
      </w:r>
    </w:p>
    <w:p w14:paraId="56F2DF2E">
      <w:pPr>
        <w:rPr>
          <w:rFonts w:ascii="仿宋_GB2312" w:eastAsia="仿宋_GB2312"/>
          <w:sz w:val="28"/>
          <w:szCs w:val="28"/>
        </w:rPr>
      </w:pPr>
      <w:r>
        <w:rPr>
          <w:rFonts w:hint="eastAsia" w:ascii="仿宋_GB2312" w:eastAsia="仿宋_GB2312"/>
          <w:sz w:val="28"/>
          <w:szCs w:val="28"/>
        </w:rPr>
        <w:t>155.下列哪些是关于温床的描述（    ）。</w:t>
      </w:r>
    </w:p>
    <w:p w14:paraId="514A501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A.温床是在冷床基础上增加人工加温条件 </w:t>
      </w:r>
    </w:p>
    <w:p w14:paraId="5F77518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B.温床是可以提高床地温和气温的一种保护设施 </w:t>
      </w:r>
    </w:p>
    <w:p w14:paraId="67BAC7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C.温床包括冷床和电热温床 </w:t>
      </w:r>
    </w:p>
    <w:p w14:paraId="139DBB3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D.以上都不是  </w:t>
      </w:r>
    </w:p>
    <w:p w14:paraId="6A8E156C">
      <w:pPr>
        <w:spacing w:line="360" w:lineRule="auto"/>
        <w:rPr>
          <w:rFonts w:ascii="仿宋" w:hAnsi="仿宋" w:eastAsia="仿宋"/>
          <w:sz w:val="28"/>
          <w:szCs w:val="28"/>
        </w:rPr>
      </w:pPr>
      <w:r>
        <w:rPr>
          <w:rFonts w:hint="eastAsia" w:ascii="仿宋_GB2312" w:eastAsia="仿宋_GB2312"/>
          <w:sz w:val="28"/>
          <w:szCs w:val="28"/>
        </w:rPr>
        <w:t>156.</w:t>
      </w:r>
      <w:r>
        <w:rPr>
          <w:rFonts w:hint="eastAsia" w:ascii="仿宋" w:hAnsi="仿宋" w:eastAsia="仿宋"/>
          <w:sz w:val="28"/>
          <w:szCs w:val="28"/>
        </w:rPr>
        <w:t>果树苗木嫁接时其技术要求是（   ）。</w:t>
      </w:r>
    </w:p>
    <w:p w14:paraId="48DC507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A.削得平</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1217DA1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B.对得准</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7800CCA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C.绑得紧</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6FC0FFF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D.成活快</w:t>
      </w:r>
    </w:p>
    <w:p w14:paraId="1D68077A">
      <w:pPr>
        <w:spacing w:line="360" w:lineRule="auto"/>
        <w:rPr>
          <w:rFonts w:ascii="仿宋_GB2312" w:hAnsi="仿宋_GB2312" w:eastAsia="仿宋_GB2312" w:cs="仿宋_GB2312"/>
          <w:sz w:val="28"/>
          <w:szCs w:val="28"/>
        </w:rPr>
      </w:pPr>
      <w:r>
        <w:rPr>
          <w:rFonts w:ascii="仿宋_GB2312" w:hAnsi="仿宋_GB2312" w:eastAsia="仿宋_GB2312" w:cs="仿宋_GB2312"/>
          <w:sz w:val="28"/>
          <w:szCs w:val="28"/>
        </w:rPr>
        <w:t xml:space="preserve">157.下列哪些是关于设施蔬菜栽培的描述（ </w:t>
      </w:r>
      <w:r>
        <w:rPr>
          <w:rFonts w:hint="eastAsia" w:ascii="仿宋_GB2312" w:hAnsi="仿宋_GB2312" w:eastAsia="仿宋_GB2312" w:cs="仿宋_GB2312"/>
          <w:sz w:val="28"/>
          <w:szCs w:val="28"/>
        </w:rPr>
        <w:t xml:space="preserve">  </w:t>
      </w:r>
      <w:r>
        <w:rPr>
          <w:rFonts w:ascii="仿宋_GB2312" w:hAnsi="仿宋_GB2312" w:eastAsia="仿宋_GB2312" w:cs="仿宋_GB2312"/>
          <w:sz w:val="28"/>
          <w:szCs w:val="28"/>
        </w:rPr>
        <w:t>）。</w:t>
      </w:r>
    </w:p>
    <w:p w14:paraId="6634837C">
      <w:pPr>
        <w:spacing w:line="360" w:lineRule="auto"/>
        <w:ind w:firstLine="280" w:firstLineChars="100"/>
        <w:rPr>
          <w:rFonts w:ascii="仿宋_GB2312" w:hAnsi="仿宋_GB2312" w:eastAsia="仿宋_GB2312" w:cs="仿宋_GB2312"/>
          <w:sz w:val="28"/>
          <w:szCs w:val="28"/>
        </w:rPr>
      </w:pPr>
      <w:r>
        <w:rPr>
          <w:rFonts w:ascii="仿宋_GB2312" w:hAnsi="仿宋_GB2312" w:eastAsia="仿宋_GB2312" w:cs="仿宋_GB2312"/>
          <w:sz w:val="28"/>
          <w:szCs w:val="28"/>
        </w:rPr>
        <w:t>A.设施蔬菜栽培是在适宜蔬菜生长发育的环境条件下进行的</w:t>
      </w:r>
    </w:p>
    <w:p w14:paraId="498F1709">
      <w:pPr>
        <w:spacing w:line="360" w:lineRule="auto"/>
        <w:ind w:firstLine="280" w:firstLineChars="100"/>
        <w:rPr>
          <w:rFonts w:ascii="仿宋_GB2312" w:hAnsi="仿宋_GB2312" w:eastAsia="仿宋_GB2312" w:cs="仿宋_GB2312"/>
          <w:sz w:val="28"/>
          <w:szCs w:val="28"/>
        </w:rPr>
      </w:pPr>
      <w:r>
        <w:rPr>
          <w:rFonts w:ascii="仿宋_GB2312" w:hAnsi="仿宋_GB2312" w:eastAsia="仿宋_GB2312" w:cs="仿宋_GB2312"/>
          <w:sz w:val="28"/>
          <w:szCs w:val="28"/>
        </w:rPr>
        <w:t>B.设施蔬菜栽培是利用专门的保温防寒或降温防热等设施</w:t>
      </w:r>
    </w:p>
    <w:p w14:paraId="573E4ABB">
      <w:pPr>
        <w:spacing w:line="360" w:lineRule="auto"/>
        <w:ind w:firstLine="280" w:firstLineChars="100"/>
        <w:rPr>
          <w:rFonts w:ascii="仿宋_GB2312" w:hAnsi="仿宋_GB2312" w:eastAsia="仿宋_GB2312" w:cs="仿宋_GB2312"/>
          <w:sz w:val="28"/>
          <w:szCs w:val="28"/>
        </w:rPr>
      </w:pPr>
      <w:r>
        <w:rPr>
          <w:rFonts w:ascii="仿宋_GB2312" w:hAnsi="仿宋_GB2312" w:eastAsia="仿宋_GB2312" w:cs="仿宋_GB2312"/>
          <w:sz w:val="28"/>
          <w:szCs w:val="28"/>
        </w:rPr>
        <w:t>C.设施蔬菜栽培是人为地创造适宜蔬菜生长发育的小气候条件，从而进行优质高产蔬菜栽培</w:t>
      </w:r>
    </w:p>
    <w:p w14:paraId="71109EC8">
      <w:pPr>
        <w:spacing w:line="360" w:lineRule="auto"/>
        <w:ind w:firstLine="280" w:firstLineChars="100"/>
        <w:rPr>
          <w:rFonts w:ascii="仿宋_GB2312" w:hAnsi="仿宋_GB2312" w:eastAsia="仿宋_GB2312" w:cs="仿宋_GB2312"/>
          <w:sz w:val="28"/>
          <w:szCs w:val="28"/>
        </w:rPr>
      </w:pPr>
      <w:r>
        <w:rPr>
          <w:rFonts w:ascii="仿宋_GB2312" w:hAnsi="仿宋_GB2312" w:eastAsia="仿宋_GB2312" w:cs="仿宋_GB2312"/>
          <w:sz w:val="28"/>
          <w:szCs w:val="28"/>
        </w:rPr>
        <w:t>D.通常又将其称为反季节栽培、保护地栽培等</w:t>
      </w:r>
    </w:p>
    <w:p w14:paraId="5DB3F7B7">
      <w:pPr>
        <w:spacing w:line="360" w:lineRule="auto"/>
        <w:rPr>
          <w:rFonts w:ascii="仿宋_GB2312" w:hAnsi="仿宋_GB2312" w:eastAsia="仿宋_GB2312" w:cs="仿宋_GB2312"/>
          <w:sz w:val="28"/>
          <w:szCs w:val="28"/>
        </w:rPr>
      </w:pPr>
      <w:r>
        <w:rPr>
          <w:rFonts w:ascii="仿宋_GB2312" w:hAnsi="仿宋_GB2312" w:eastAsia="仿宋_GB2312" w:cs="仿宋_GB2312"/>
          <w:sz w:val="28"/>
          <w:szCs w:val="28"/>
        </w:rPr>
        <w:t>158.</w:t>
      </w:r>
      <w:r>
        <w:rPr>
          <w:rFonts w:hint="eastAsia" w:ascii="仿宋_GB2312" w:hAnsi="仿宋_GB2312" w:eastAsia="仿宋_GB2312" w:cs="仿宋_GB2312"/>
          <w:sz w:val="28"/>
          <w:szCs w:val="28"/>
        </w:rPr>
        <w:t xml:space="preserve">利用嫁接法可以借助砧木的特性，提高果树的（   </w:t>
      </w:r>
      <w:r>
        <w:rPr>
          <w:rFonts w:ascii="仿宋_GB2312" w:hAnsi="仿宋_GB2312" w:eastAsia="仿宋_GB2312" w:cs="仿宋_GB2312"/>
          <w:sz w:val="28"/>
          <w:szCs w:val="28"/>
        </w:rPr>
        <w:t>）</w:t>
      </w:r>
      <w:r>
        <w:rPr>
          <w:rFonts w:hint="eastAsia" w:ascii="仿宋_GB2312" w:hAnsi="仿宋_GB2312" w:eastAsia="仿宋_GB2312" w:cs="仿宋_GB2312"/>
          <w:sz w:val="28"/>
          <w:szCs w:val="28"/>
        </w:rPr>
        <w:t>能力</w:t>
      </w:r>
      <w:r>
        <w:rPr>
          <w:rFonts w:ascii="仿宋_GB2312" w:hAnsi="仿宋_GB2312" w:eastAsia="仿宋_GB2312" w:cs="仿宋_GB2312"/>
          <w:sz w:val="28"/>
          <w:szCs w:val="28"/>
        </w:rPr>
        <w:t>。</w:t>
      </w:r>
    </w:p>
    <w:p w14:paraId="5B7E32F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A.抗寒</w:t>
      </w:r>
      <w:r>
        <w:rPr>
          <w:rFonts w:hint="eastAsia" w:ascii="仿宋_GB2312" w:hAnsi="仿宋_GB2312" w:eastAsia="仿宋_GB2312" w:cs="仿宋_GB2312"/>
          <w:sz w:val="28"/>
          <w:szCs w:val="28"/>
        </w:rPr>
        <w:tab/>
      </w:r>
    </w:p>
    <w:p w14:paraId="6F8E443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B.抗旱</w:t>
      </w:r>
      <w:r>
        <w:rPr>
          <w:rFonts w:hint="eastAsia" w:ascii="仿宋_GB2312" w:hAnsi="仿宋_GB2312" w:eastAsia="仿宋_GB2312" w:cs="仿宋_GB2312"/>
          <w:sz w:val="28"/>
          <w:szCs w:val="28"/>
        </w:rPr>
        <w:tab/>
      </w:r>
    </w:p>
    <w:p w14:paraId="3B58AD6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C.抗涝</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tab/>
      </w:r>
    </w:p>
    <w:p w14:paraId="521DBF0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D.抗病虫害</w:t>
      </w:r>
    </w:p>
    <w:p w14:paraId="5259F333">
      <w:pPr>
        <w:spacing w:line="360" w:lineRule="auto"/>
        <w:rPr>
          <w:rFonts w:ascii="仿宋_GB2312" w:hAnsi="仿宋_GB2312" w:eastAsia="仿宋_GB2312" w:cs="仿宋_GB2312"/>
          <w:sz w:val="28"/>
          <w:szCs w:val="28"/>
        </w:rPr>
      </w:pPr>
      <w:r>
        <w:rPr>
          <w:rFonts w:ascii="仿宋_GB2312" w:hAnsi="仿宋_GB2312" w:eastAsia="仿宋_GB2312" w:cs="仿宋_GB2312"/>
          <w:sz w:val="28"/>
          <w:szCs w:val="28"/>
        </w:rPr>
        <w:t>159.关于芽接的时期，描述正确的有（</w:t>
      </w:r>
      <w:r>
        <w:rPr>
          <w:rFonts w:hint="eastAsia" w:ascii="仿宋_GB2312" w:hAnsi="仿宋_GB2312" w:eastAsia="仿宋_GB2312" w:cs="仿宋_GB2312"/>
          <w:sz w:val="28"/>
          <w:szCs w:val="28"/>
        </w:rPr>
        <w:t xml:space="preserve">  </w:t>
      </w:r>
      <w:r>
        <w:rPr>
          <w:rFonts w:ascii="仿宋_GB2312" w:hAnsi="仿宋_GB2312" w:eastAsia="仿宋_GB2312" w:cs="仿宋_GB2312"/>
          <w:sz w:val="28"/>
          <w:szCs w:val="28"/>
        </w:rPr>
        <w:t>）。</w:t>
      </w:r>
    </w:p>
    <w:p w14:paraId="5145DA29">
      <w:pPr>
        <w:spacing w:line="360" w:lineRule="auto"/>
        <w:ind w:firstLine="280" w:firstLineChars="100"/>
        <w:rPr>
          <w:rFonts w:ascii="仿宋_GB2312" w:hAnsi="仿宋_GB2312" w:eastAsia="仿宋_GB2312" w:cs="仿宋_GB2312"/>
          <w:sz w:val="28"/>
          <w:szCs w:val="28"/>
        </w:rPr>
      </w:pPr>
      <w:r>
        <w:rPr>
          <w:rFonts w:ascii="仿宋_GB2312" w:hAnsi="仿宋_GB2312" w:eastAsia="仿宋_GB2312" w:cs="仿宋_GB2312"/>
          <w:sz w:val="28"/>
          <w:szCs w:val="28"/>
        </w:rPr>
        <w:t>A.芽接可在春、夏、秋、冬四季进行，但一般以夏秋芽接为主</w:t>
      </w:r>
    </w:p>
    <w:p w14:paraId="1863F4B7">
      <w:pPr>
        <w:spacing w:line="360" w:lineRule="auto"/>
        <w:ind w:firstLine="280" w:firstLineChars="100"/>
        <w:rPr>
          <w:rFonts w:ascii="仿宋_GB2312" w:hAnsi="仿宋_GB2312" w:eastAsia="仿宋_GB2312" w:cs="仿宋_GB2312"/>
          <w:sz w:val="28"/>
          <w:szCs w:val="28"/>
        </w:rPr>
      </w:pPr>
      <w:r>
        <w:rPr>
          <w:rFonts w:ascii="仿宋_GB2312" w:hAnsi="仿宋_GB2312" w:eastAsia="仿宋_GB2312" w:cs="仿宋_GB2312"/>
          <w:sz w:val="28"/>
          <w:szCs w:val="28"/>
        </w:rPr>
        <w:t>B.通常落叶树在7-9月份，常绿树9-11月份进行</w:t>
      </w:r>
    </w:p>
    <w:p w14:paraId="64421504">
      <w:pPr>
        <w:spacing w:line="360" w:lineRule="auto"/>
        <w:ind w:firstLine="280" w:firstLineChars="100"/>
        <w:rPr>
          <w:rFonts w:ascii="仿宋_GB2312" w:hAnsi="仿宋_GB2312" w:eastAsia="仿宋_GB2312" w:cs="仿宋_GB2312"/>
          <w:sz w:val="28"/>
          <w:szCs w:val="28"/>
        </w:rPr>
      </w:pPr>
      <w:r>
        <w:rPr>
          <w:rFonts w:ascii="仿宋_GB2312" w:hAnsi="仿宋_GB2312" w:eastAsia="仿宋_GB2312" w:cs="仿宋_GB2312"/>
          <w:sz w:val="28"/>
          <w:szCs w:val="28"/>
        </w:rPr>
        <w:t>C.绝大多数芽接方法都要求砧木和接穗离皮（指木质部与韧皮部易分离） ，且接穗芽体充实饱满时进行为宜</w:t>
      </w:r>
    </w:p>
    <w:p w14:paraId="4696E034">
      <w:pPr>
        <w:spacing w:line="360" w:lineRule="auto"/>
        <w:ind w:firstLine="280" w:firstLineChars="100"/>
        <w:rPr>
          <w:rFonts w:ascii="仿宋_GB2312" w:hAnsi="仿宋_GB2312" w:eastAsia="仿宋_GB2312" w:cs="仿宋_GB2312"/>
          <w:sz w:val="28"/>
          <w:szCs w:val="28"/>
        </w:rPr>
      </w:pPr>
      <w:r>
        <w:rPr>
          <w:rFonts w:ascii="仿宋_GB2312" w:hAnsi="仿宋_GB2312" w:eastAsia="仿宋_GB2312" w:cs="仿宋_GB2312"/>
          <w:sz w:val="28"/>
          <w:szCs w:val="28"/>
        </w:rPr>
        <w:t>D.当砧木和接穗都不离皮时则采用嵌芽接法为宜</w:t>
      </w:r>
    </w:p>
    <w:p w14:paraId="7553D6C8">
      <w:pPr>
        <w:rPr>
          <w:rFonts w:ascii="仿宋_GB2312" w:eastAsia="仿宋_GB2312"/>
          <w:sz w:val="28"/>
          <w:szCs w:val="28"/>
        </w:rPr>
      </w:pPr>
      <w:r>
        <w:rPr>
          <w:rFonts w:hint="eastAsia" w:ascii="仿宋_GB2312" w:eastAsia="仿宋_GB2312"/>
          <w:sz w:val="28"/>
          <w:szCs w:val="28"/>
        </w:rPr>
        <w:t>160.下列关于葫芦科的描述，正确的是（   ）。</w:t>
      </w:r>
    </w:p>
    <w:p w14:paraId="7F9942A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葫芦科为藤本植物，卷须生于叶腋</w:t>
      </w:r>
      <w:r>
        <w:rPr>
          <w:rFonts w:hint="eastAsia" w:ascii="仿宋_GB2312" w:hAnsi="仿宋_GB2312" w:eastAsia="仿宋_GB2312" w:cs="仿宋_GB2312"/>
          <w:sz w:val="28"/>
          <w:szCs w:val="28"/>
        </w:rPr>
        <w:fldChar w:fldCharType="end"/>
      </w:r>
    </w:p>
    <w:p w14:paraId="5E24E99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单叶互生，稀鸟足状复叶</w:t>
      </w:r>
      <w:r>
        <w:rPr>
          <w:rFonts w:hint="eastAsia" w:ascii="仿宋_GB2312" w:hAnsi="仿宋_GB2312" w:eastAsia="仿宋_GB2312" w:cs="仿宋_GB2312"/>
          <w:sz w:val="28"/>
          <w:szCs w:val="28"/>
        </w:rPr>
        <w:fldChar w:fldCharType="end"/>
      </w:r>
    </w:p>
    <w:p w14:paraId="003175C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花单性，花药药室常曲形，子房下位，果实为瓠果</w:t>
      </w:r>
      <w:r>
        <w:rPr>
          <w:rFonts w:hint="eastAsia" w:ascii="仿宋_GB2312" w:hAnsi="仿宋_GB2312" w:eastAsia="仿宋_GB2312" w:cs="仿宋_GB2312"/>
          <w:sz w:val="28"/>
          <w:szCs w:val="28"/>
        </w:rPr>
        <w:fldChar w:fldCharType="end"/>
      </w:r>
    </w:p>
    <w:p w14:paraId="2CE4A63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主要的蔬菜有黄瓜、甜瓜、南瓜、西葫芦、冬瓜、苦瓜 、蛇瓜等</w:t>
      </w:r>
      <w:r>
        <w:rPr>
          <w:rFonts w:hint="eastAsia" w:ascii="仿宋_GB2312" w:hAnsi="仿宋_GB2312" w:eastAsia="仿宋_GB2312" w:cs="仿宋_GB2312"/>
          <w:sz w:val="28"/>
          <w:szCs w:val="28"/>
        </w:rPr>
        <w:fldChar w:fldCharType="end"/>
      </w:r>
    </w:p>
    <w:p w14:paraId="16DCEB8E">
      <w:pPr>
        <w:rPr>
          <w:rFonts w:ascii="仿宋_GB2312" w:eastAsia="仿宋_GB2312"/>
          <w:sz w:val="28"/>
          <w:szCs w:val="28"/>
        </w:rPr>
      </w:pPr>
      <w:r>
        <w:rPr>
          <w:rFonts w:hint="eastAsia" w:ascii="仿宋_GB2312" w:eastAsia="仿宋_GB2312"/>
          <w:sz w:val="28"/>
          <w:szCs w:val="28"/>
        </w:rPr>
        <w:t>161.叶菜类小菜蛾危害特点主要包括(    )。</w:t>
      </w:r>
    </w:p>
    <w:p w14:paraId="556A874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体小，只要有少量食物就能存活，易于躲避敌害</w:t>
      </w:r>
      <w:r>
        <w:rPr>
          <w:rFonts w:hint="eastAsia" w:ascii="仿宋_GB2312" w:hAnsi="仿宋_GB2312" w:eastAsia="仿宋_GB2312" w:cs="仿宋_GB2312"/>
          <w:sz w:val="28"/>
          <w:szCs w:val="28"/>
        </w:rPr>
        <w:fldChar w:fldCharType="end"/>
      </w:r>
    </w:p>
    <w:p w14:paraId="4D2EFBE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生活周期短，完成一代最快10天</w:t>
      </w:r>
      <w:r>
        <w:rPr>
          <w:rFonts w:hint="eastAsia" w:ascii="仿宋_GB2312" w:hAnsi="仿宋_GB2312" w:eastAsia="仿宋_GB2312" w:cs="仿宋_GB2312"/>
          <w:sz w:val="28"/>
          <w:szCs w:val="28"/>
        </w:rPr>
        <w:fldChar w:fldCharType="end"/>
      </w:r>
    </w:p>
    <w:p w14:paraId="0B3DFB6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繁殖能力强，抗药性差</w:t>
      </w:r>
      <w:r>
        <w:rPr>
          <w:rFonts w:hint="eastAsia" w:ascii="仿宋_GB2312" w:hAnsi="仿宋_GB2312" w:eastAsia="仿宋_GB2312" w:cs="仿宋_GB2312"/>
          <w:sz w:val="28"/>
          <w:szCs w:val="28"/>
        </w:rPr>
        <w:fldChar w:fldCharType="end"/>
      </w:r>
    </w:p>
    <w:p w14:paraId="606C599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越冬代成虫产卵期可达90天，这样就造成严重的世代重叠，防治困难</w:t>
      </w:r>
      <w:r>
        <w:rPr>
          <w:rFonts w:hint="eastAsia" w:ascii="仿宋_GB2312" w:hAnsi="仿宋_GB2312" w:eastAsia="仿宋_GB2312" w:cs="仿宋_GB2312"/>
          <w:sz w:val="28"/>
          <w:szCs w:val="28"/>
        </w:rPr>
        <w:fldChar w:fldCharType="end"/>
      </w:r>
    </w:p>
    <w:p w14:paraId="636ABD39">
      <w:pPr>
        <w:rPr>
          <w:rFonts w:ascii="仿宋_GB2312" w:eastAsia="仿宋_GB2312"/>
          <w:sz w:val="28"/>
          <w:szCs w:val="28"/>
        </w:rPr>
      </w:pPr>
      <w:r>
        <w:rPr>
          <w:rFonts w:hint="eastAsia" w:ascii="仿宋_GB2312" w:eastAsia="仿宋_GB2312"/>
          <w:sz w:val="28"/>
          <w:szCs w:val="28"/>
        </w:rPr>
        <w:t>162.防治黄曲条跳甲的关健措施主要包括(   )。</w:t>
      </w:r>
    </w:p>
    <w:p w14:paraId="41ADB57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防治跳甲的关健是要标本兼治，既要杀死成虫，又要杀死土壤中的幼虫，要合理使用农药，讲究喷药技巧</w:t>
      </w:r>
      <w:r>
        <w:rPr>
          <w:rFonts w:hint="eastAsia" w:ascii="仿宋_GB2312" w:hAnsi="仿宋_GB2312" w:eastAsia="仿宋_GB2312" w:cs="仿宋_GB2312"/>
          <w:sz w:val="28"/>
          <w:szCs w:val="28"/>
        </w:rPr>
        <w:fldChar w:fldCharType="end"/>
      </w:r>
    </w:p>
    <w:p w14:paraId="21DD430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清除田间杂草，深耕细耙土壤，施入石灰或敌百虫，杀死土壤中的幼虫、蛹和卵</w:t>
      </w:r>
      <w:r>
        <w:rPr>
          <w:rFonts w:hint="eastAsia" w:ascii="仿宋_GB2312" w:hAnsi="仿宋_GB2312" w:eastAsia="仿宋_GB2312" w:cs="仿宋_GB2312"/>
          <w:sz w:val="28"/>
          <w:szCs w:val="28"/>
        </w:rPr>
        <w:fldChar w:fldCharType="end"/>
      </w:r>
    </w:p>
    <w:p w14:paraId="2511499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C.药剂防治可用1.8%阿维菌素2000倍液。</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喷药时要连片喷洒，并由四周向内喷施，以防成虫迁飞</w:t>
      </w:r>
      <w:r>
        <w:rPr>
          <w:rFonts w:hint="eastAsia" w:ascii="仿宋_GB2312" w:hAnsi="仿宋_GB2312" w:eastAsia="仿宋_GB2312" w:cs="仿宋_GB2312"/>
          <w:sz w:val="28"/>
          <w:szCs w:val="28"/>
        </w:rPr>
        <w:fldChar w:fldCharType="end"/>
      </w:r>
    </w:p>
    <w:p w14:paraId="3DCCEEA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叶面喷施和灌根相结合</w:t>
      </w:r>
      <w:r>
        <w:rPr>
          <w:rFonts w:hint="eastAsia" w:ascii="仿宋_GB2312" w:hAnsi="仿宋_GB2312" w:eastAsia="仿宋_GB2312" w:cs="仿宋_GB2312"/>
          <w:sz w:val="28"/>
          <w:szCs w:val="28"/>
        </w:rPr>
        <w:fldChar w:fldCharType="end"/>
      </w:r>
    </w:p>
    <w:p w14:paraId="611F5B45">
      <w:pPr>
        <w:rPr>
          <w:rFonts w:ascii="仿宋_GB2312" w:eastAsia="仿宋_GB2312"/>
          <w:sz w:val="28"/>
          <w:szCs w:val="28"/>
        </w:rPr>
      </w:pPr>
      <w:r>
        <w:rPr>
          <w:rFonts w:hint="eastAsia" w:ascii="仿宋_GB2312" w:eastAsia="仿宋_GB2312"/>
          <w:sz w:val="28"/>
          <w:szCs w:val="28"/>
        </w:rPr>
        <w:t>163.大白菜软腐病防治方法有（  ）。</w:t>
      </w:r>
    </w:p>
    <w:p w14:paraId="69A9558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w:t>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"https://mooc1.chaoxing.com/exam/javascript:void(0)"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种植大白菜的地块应避开低洼地，避免与十字花科蔬菜连作，整地前要进行土壤处理，消灭残留的害虫和病原菌</w:t>
      </w:r>
    </w:p>
    <w:p w14:paraId="1744CD1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t>B.</w:t>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"https://mooc1.chaoxing.com/exam/javascript:void(0)"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采用抗病品种适期播种</w:t>
      </w:r>
    </w:p>
    <w:p w14:paraId="32B9789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t>C.</w:t>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"https://mooc1.chaoxing.com/exam/javascript:void(0)"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为了防治软腐病，切记大水漫灌。及时清除病株，并用石灰粉撒于病穴周围，避免病菌随土块传播。要施足基肥，减少追肥次数</w:t>
      </w:r>
    </w:p>
    <w:p w14:paraId="3B5CCC3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t>D.</w:t>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"https://mooc1.chaoxing.com/exam/javascript:void(0)"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在软腐病发生的初期，拔除病株后喷洒农药。药剂可选用47%加瑞农可湿性粉剂400～600倍液，或新植霉素、农用链霉素5000倍液喷雾，10～15天防治一次</w:t>
      </w:r>
    </w:p>
    <w:p w14:paraId="7EA5C169">
      <w:pPr>
        <w:spacing w:line="360" w:lineRule="auto"/>
        <w:rPr>
          <w:rFonts w:ascii="仿宋_GB2312" w:eastAsia="仿宋_GB2312"/>
          <w:sz w:val="28"/>
          <w:szCs w:val="28"/>
        </w:rPr>
      </w:pPr>
      <w:r>
        <w:rPr>
          <w:rFonts w:hint="eastAsia" w:ascii="仿宋_GB2312" w:hAnsi="仿宋_GB2312" w:eastAsia="仿宋_GB2312" w:cs="仿宋_GB2312"/>
          <w:sz w:val="28"/>
          <w:szCs w:val="28"/>
        </w:rPr>
        <w:fldChar w:fldCharType="end"/>
      </w:r>
      <w:r>
        <w:rPr>
          <w:rFonts w:hint="eastAsia" w:ascii="仿宋_GB2312" w:eastAsia="仿宋_GB2312"/>
          <w:sz w:val="28"/>
          <w:szCs w:val="28"/>
        </w:rPr>
        <w:t>164.根据生姜植株形态和生长习性,可将生姜品种分为（   ）类型。</w:t>
      </w:r>
    </w:p>
    <w:p w14:paraId="301D1AD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A.疏苗型</w:t>
      </w:r>
    </w:p>
    <w:p w14:paraId="3EB9151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B.密苗型</w:t>
      </w:r>
    </w:p>
    <w:p w14:paraId="5476D14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C.早熟型</w:t>
      </w:r>
    </w:p>
    <w:p w14:paraId="50256FA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D.晚熟型</w:t>
      </w:r>
    </w:p>
    <w:p w14:paraId="7AA284DC">
      <w:pPr>
        <w:rPr>
          <w:rFonts w:ascii="仿宋_GB2312" w:eastAsia="仿宋_GB2312"/>
          <w:sz w:val="28"/>
          <w:szCs w:val="28"/>
        </w:rPr>
      </w:pPr>
      <w:r>
        <w:rPr>
          <w:rFonts w:hint="eastAsia" w:ascii="仿宋_GB2312" w:eastAsia="仿宋_GB2312"/>
          <w:sz w:val="28"/>
          <w:szCs w:val="28"/>
        </w:rPr>
        <w:t>165.下列属于叶菜类病毒病害的发生规律是(   )。</w:t>
      </w:r>
    </w:p>
    <w:p w14:paraId="630418A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细菌引起的病害</w:t>
      </w:r>
      <w:r>
        <w:rPr>
          <w:rFonts w:hint="eastAsia" w:ascii="仿宋_GB2312" w:hAnsi="仿宋_GB2312" w:eastAsia="仿宋_GB2312" w:cs="仿宋_GB2312"/>
          <w:sz w:val="28"/>
          <w:szCs w:val="28"/>
        </w:rPr>
        <w:fldChar w:fldCharType="end"/>
      </w:r>
    </w:p>
    <w:p w14:paraId="650B61F9">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在越冬的植株、冬季田间十字花科蔬菜、菠菜上越冬</w:t>
      </w:r>
      <w:r>
        <w:rPr>
          <w:rFonts w:hint="eastAsia" w:ascii="仿宋_GB2312" w:hAnsi="仿宋_GB2312" w:eastAsia="仿宋_GB2312" w:cs="仿宋_GB2312"/>
          <w:sz w:val="28"/>
          <w:szCs w:val="28"/>
        </w:rPr>
        <w:fldChar w:fldCharType="end"/>
      </w:r>
    </w:p>
    <w:p w14:paraId="0E94B7E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靠蚜虫传播</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t>，</w:t>
      </w:r>
      <w:r>
        <w:fldChar w:fldCharType="begin"/>
      </w:r>
      <w:r>
        <w:instrText xml:space="preserve"> HYPERLINK "https://mooc1.chaoxing.com/exam/javascript:void(0)" </w:instrText>
      </w:r>
      <w:r>
        <w:fldChar w:fldCharType="separate"/>
      </w:r>
      <w:r>
        <w:rPr>
          <w:rFonts w:hint="eastAsia" w:ascii="仿宋_GB2312" w:hAnsi="仿宋_GB2312" w:eastAsia="仿宋_GB2312" w:cs="仿宋_GB2312"/>
          <w:sz w:val="28"/>
          <w:szCs w:val="28"/>
        </w:rPr>
        <w:t>还可以通过农事操作传播</w:t>
      </w:r>
      <w:r>
        <w:rPr>
          <w:rFonts w:hint="eastAsia" w:ascii="仿宋_GB2312" w:hAnsi="仿宋_GB2312" w:eastAsia="仿宋_GB2312" w:cs="仿宋_GB2312"/>
          <w:sz w:val="28"/>
          <w:szCs w:val="28"/>
        </w:rPr>
        <w:fldChar w:fldCharType="end"/>
      </w:r>
    </w:p>
    <w:p w14:paraId="0097A14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D.15～20℃的温度，相对湿度75%以下，发病重</w:t>
      </w:r>
    </w:p>
    <w:p w14:paraId="3C7B8457">
      <w:pPr>
        <w:spacing w:line="360" w:lineRule="auto"/>
        <w:rPr>
          <w:rFonts w:ascii="仿宋" w:hAnsi="仿宋" w:eastAsia="仿宋"/>
          <w:sz w:val="28"/>
          <w:szCs w:val="28"/>
        </w:rPr>
      </w:pPr>
      <w:r>
        <w:rPr>
          <w:rFonts w:hint="eastAsia" w:ascii="仿宋_GB2312" w:eastAsia="仿宋_GB2312"/>
          <w:sz w:val="28"/>
          <w:szCs w:val="28"/>
        </w:rPr>
        <w:t>166.</w:t>
      </w:r>
      <w:r>
        <w:rPr>
          <w:rFonts w:hint="eastAsia" w:ascii="仿宋" w:hAnsi="仿宋" w:eastAsia="仿宋"/>
          <w:sz w:val="28"/>
          <w:szCs w:val="28"/>
        </w:rPr>
        <w:t>以下关于枝接缺点的描述，你认为正确的项有（ ）。</w:t>
      </w:r>
    </w:p>
    <w:p w14:paraId="32FAFE58">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A.操作技术不如芽接容易掌握。</w:t>
      </w:r>
    </w:p>
    <w:p w14:paraId="1E26ACD2">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B.用的接穗多，需要采集太多枝条。</w:t>
      </w:r>
    </w:p>
    <w:p w14:paraId="7B5D767B">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C.常见的枝接方法有切接、劈接、插皮接、腹接和舌接等。</w:t>
      </w:r>
    </w:p>
    <w:p w14:paraId="770B482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D.对砧木要求有一定的粗度</w:t>
      </w:r>
    </w:p>
    <w:p w14:paraId="0C51EC75">
      <w:pPr>
        <w:rPr>
          <w:rFonts w:ascii="仿宋" w:hAnsi="仿宋" w:eastAsia="仿宋"/>
          <w:sz w:val="28"/>
          <w:szCs w:val="28"/>
        </w:rPr>
      </w:pPr>
      <w:r>
        <w:rPr>
          <w:rFonts w:hint="eastAsia" w:ascii="仿宋_GB2312" w:eastAsia="仿宋_GB2312"/>
          <w:sz w:val="28"/>
          <w:szCs w:val="28"/>
        </w:rPr>
        <w:t>167.</w:t>
      </w:r>
      <w:r>
        <w:rPr>
          <w:rFonts w:hint="eastAsia" w:ascii="仿宋" w:hAnsi="仿宋" w:eastAsia="仿宋"/>
          <w:sz w:val="28"/>
          <w:szCs w:val="28"/>
        </w:rPr>
        <w:t>果树嫁接的程序包括 （  ）。</w:t>
      </w:r>
    </w:p>
    <w:p w14:paraId="48184A7A">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A.砧木切削</w:t>
      </w:r>
      <w:r>
        <w:rPr>
          <w:rFonts w:hint="eastAsia" w:ascii="仿宋_GB2312" w:hAnsi="仿宋_GB2312" w:eastAsia="仿宋_GB2312" w:cs="仿宋_GB2312"/>
          <w:sz w:val="28"/>
          <w:szCs w:val="28"/>
        </w:rPr>
        <w:tab/>
      </w:r>
    </w:p>
    <w:p w14:paraId="6717490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B.接穗切削</w:t>
      </w:r>
    </w:p>
    <w:p w14:paraId="2E8A575C">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C.接合</w:t>
      </w:r>
      <w:r>
        <w:rPr>
          <w:rFonts w:hint="eastAsia" w:ascii="仿宋_GB2312" w:hAnsi="仿宋_GB2312" w:eastAsia="仿宋_GB2312" w:cs="仿宋_GB2312"/>
          <w:sz w:val="28"/>
          <w:szCs w:val="28"/>
        </w:rPr>
        <w:tab/>
      </w:r>
    </w:p>
    <w:p w14:paraId="0B4E1520">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D.绑扎</w:t>
      </w:r>
    </w:p>
    <w:p w14:paraId="2F573C91">
      <w:pPr>
        <w:rPr>
          <w:rFonts w:ascii="仿宋_GB2312" w:eastAsia="仿宋_GB2312"/>
          <w:sz w:val="28"/>
          <w:szCs w:val="28"/>
        </w:rPr>
      </w:pPr>
      <w:r>
        <w:rPr>
          <w:rFonts w:hint="eastAsia" w:ascii="仿宋_GB2312" w:eastAsia="仿宋_GB2312"/>
          <w:sz w:val="28"/>
          <w:szCs w:val="28"/>
        </w:rPr>
        <w:t>168.番茄按照生长型可将番茄分为（   ）型。</w:t>
      </w:r>
    </w:p>
    <w:p w14:paraId="061819B1">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A.无限生长型</w:t>
      </w:r>
    </w:p>
    <w:p w14:paraId="67748D36">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B.有限生长型</w:t>
      </w:r>
    </w:p>
    <w:p w14:paraId="0827744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C.早熟品种</w:t>
      </w:r>
    </w:p>
    <w:p w14:paraId="3EB22A6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D.晚熟品种</w:t>
      </w:r>
    </w:p>
    <w:p w14:paraId="49080F80">
      <w:pPr>
        <w:rPr>
          <w:rFonts w:ascii="仿宋_GB2312" w:eastAsia="仿宋_GB2312"/>
          <w:sz w:val="28"/>
          <w:szCs w:val="28"/>
        </w:rPr>
      </w:pPr>
      <w:r>
        <w:rPr>
          <w:rFonts w:hint="eastAsia" w:ascii="仿宋_GB2312" w:eastAsia="仿宋_GB2312"/>
          <w:sz w:val="28"/>
          <w:szCs w:val="28"/>
        </w:rPr>
        <w:t>169.以下哪些是山药的繁殖方法（   ）。</w:t>
      </w:r>
    </w:p>
    <w:p w14:paraId="3E8FA95F">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A.顶芽繁殖法</w:t>
      </w:r>
    </w:p>
    <w:p w14:paraId="0810502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B.切块繁殖</w:t>
      </w:r>
    </w:p>
    <w:p w14:paraId="3DC41477">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C.叶片繁殖</w:t>
      </w:r>
    </w:p>
    <w:p w14:paraId="7405142D">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D.零余子繁殖法</w:t>
      </w:r>
    </w:p>
    <w:p w14:paraId="35BF82C4">
      <w:pPr>
        <w:rPr>
          <w:rFonts w:ascii="仿宋_GB2312" w:eastAsia="仿宋_GB2312"/>
          <w:sz w:val="28"/>
          <w:szCs w:val="28"/>
        </w:rPr>
      </w:pPr>
      <w:r>
        <w:rPr>
          <w:rFonts w:hint="eastAsia" w:ascii="仿宋_GB2312" w:eastAsia="仿宋_GB2312"/>
          <w:sz w:val="28"/>
          <w:szCs w:val="28"/>
        </w:rPr>
        <w:t>170.下列关于苦瓜的整枝方式，描述正确的是（   ）。</w:t>
      </w:r>
    </w:p>
    <w:p w14:paraId="0D7098C4">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A.苦瓜分枝力强，要将主蔓1.0米以下的侧蔓全部去掉</w:t>
      </w:r>
    </w:p>
    <w:p w14:paraId="1F6E0FF3">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B.苦瓜分枝力强，要将主蔓0.6～1.5米以下的侧蔓全部去掉</w:t>
      </w:r>
    </w:p>
    <w:p w14:paraId="627CC1F5">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C.主蔓伸长到一定高度后，留2～3个健壮的侧蔓与主蔓一起上架</w:t>
      </w:r>
    </w:p>
    <w:p w14:paraId="7FA2193E">
      <w:pPr>
        <w:spacing w:line="360" w:lineRule="auto"/>
        <w:ind w:firstLine="280" w:firstLineChars="100"/>
        <w:rPr>
          <w:rFonts w:ascii="仿宋_GB2312" w:hAnsi="仿宋_GB2312" w:eastAsia="仿宋_GB2312" w:cs="仿宋_GB2312"/>
          <w:sz w:val="28"/>
          <w:szCs w:val="28"/>
        </w:rPr>
      </w:pPr>
      <w:r>
        <w:rPr>
          <w:rFonts w:hint="eastAsia" w:ascii="仿宋_GB2312" w:hAnsi="仿宋_GB2312" w:eastAsia="仿宋_GB2312" w:cs="仿宋_GB2312"/>
          <w:sz w:val="28"/>
          <w:szCs w:val="28"/>
        </w:rPr>
        <w:t>D.当主蔓伸长到一定高度后，留1～2个健壮侧蔓与主蔓一起上架</w:t>
      </w:r>
    </w:p>
    <w:p w14:paraId="0FB67F1B">
      <w:pPr>
        <w:autoSpaceDE w:val="0"/>
        <w:autoSpaceDN w:val="0"/>
        <w:adjustRightInd w:val="0"/>
        <w:jc w:val="left"/>
        <w:outlineLvl w:val="0"/>
        <w:rPr>
          <w:rFonts w:hint="eastAsia" w:ascii="仿宋_GB2312" w:eastAsia="仿宋_GB2312" w:cs="仿宋"/>
          <w:b/>
          <w:kern w:val="0"/>
          <w:sz w:val="28"/>
          <w:szCs w:val="28"/>
        </w:rPr>
      </w:pPr>
    </w:p>
    <w:p w14:paraId="068E84E8">
      <w:pPr>
        <w:autoSpaceDE w:val="0"/>
        <w:autoSpaceDN w:val="0"/>
        <w:adjustRightInd w:val="0"/>
        <w:jc w:val="left"/>
        <w:outlineLvl w:val="0"/>
        <w:rPr>
          <w:rFonts w:hint="eastAsia" w:ascii="仿宋_GB2312" w:eastAsia="仿宋_GB2312" w:cs="仿宋"/>
          <w:b/>
          <w:kern w:val="0"/>
          <w:sz w:val="28"/>
          <w:szCs w:val="28"/>
        </w:rPr>
      </w:pPr>
    </w:p>
    <w:p w14:paraId="1D83DEFA">
      <w:pPr>
        <w:autoSpaceDE w:val="0"/>
        <w:autoSpaceDN w:val="0"/>
        <w:adjustRightInd w:val="0"/>
        <w:jc w:val="left"/>
        <w:outlineLvl w:val="0"/>
        <w:rPr>
          <w:rFonts w:ascii="仿宋_GB2312" w:eastAsia="仿宋_GB2312" w:cs="仿宋"/>
          <w:b/>
          <w:kern w:val="0"/>
          <w:sz w:val="28"/>
          <w:szCs w:val="28"/>
        </w:rPr>
      </w:pPr>
      <w:r>
        <w:rPr>
          <w:rFonts w:hint="eastAsia" w:ascii="仿宋_GB2312" w:eastAsia="仿宋_GB2312" w:cs="仿宋"/>
          <w:b/>
          <w:kern w:val="0"/>
          <w:sz w:val="28"/>
          <w:szCs w:val="28"/>
        </w:rPr>
        <w:t>三、判断题（正确Y，错误N）</w:t>
      </w:r>
    </w:p>
    <w:p w14:paraId="33BCFBD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 xml:space="preserve">1.（ ）黄瓜与南瓜嫁接组合，插接时，在黄瓜接穗子叶基部约0.5 </w:t>
      </w:r>
      <w:r>
        <w:rPr>
          <w:rFonts w:hint="eastAsia" w:ascii="仿宋_GB2312" w:eastAsia="仿宋" w:cs="仿宋"/>
          <w:kern w:val="0"/>
          <w:sz w:val="28"/>
          <w:szCs w:val="28"/>
        </w:rPr>
        <w:t>㎝</w:t>
      </w:r>
      <w:r>
        <w:rPr>
          <w:rFonts w:hint="eastAsia" w:ascii="仿宋_GB2312" w:eastAsia="仿宋_GB2312" w:cs="仿宋"/>
          <w:kern w:val="0"/>
          <w:sz w:val="28"/>
          <w:szCs w:val="28"/>
        </w:rPr>
        <w:t>处沿两子叶平行的方向向下胚轴方向斜切成平滑单楔面或双楔面，角度约为30°为宜。</w:t>
      </w:r>
    </w:p>
    <w:p w14:paraId="4B2EE51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 ）西瓜插接过程中需要用到嫁接夹。</w:t>
      </w:r>
    </w:p>
    <w:p w14:paraId="1A5155A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 ）瓜类劈接嫁接时，不需要去除砧木生长点。</w:t>
      </w:r>
    </w:p>
    <w:p w14:paraId="3EBD99E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 ）瓜类插接时，竹签插入砧木越深越好。</w:t>
      </w:r>
    </w:p>
    <w:p w14:paraId="00BE3F3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 ）</w:t>
      </w:r>
      <w:r>
        <w:rPr>
          <w:rFonts w:ascii="仿宋_GB2312" w:eastAsia="仿宋_GB2312" w:cs="仿宋"/>
          <w:kern w:val="0"/>
          <w:sz w:val="28"/>
          <w:szCs w:val="28"/>
        </w:rPr>
        <w:t>温室内的氨气危害主要是由于施肥不当造成的，如地表撒施碳酸氢铵、尿素、禽粪等会直接或间接放出氨气。</w:t>
      </w:r>
    </w:p>
    <w:p w14:paraId="35C7EF6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 ）播种床土要求特别疏松通透，而土壤肥沃程度要求不高。</w:t>
      </w:r>
    </w:p>
    <w:p w14:paraId="44A5E9A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 ）炼苗应是在定植前5～7天进行，停止苗床加温，并揭膜通风。</w:t>
      </w:r>
    </w:p>
    <w:p w14:paraId="12621A1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 ）蔬菜苗床土壤可用40%甲醛进行消毒。</w:t>
      </w:r>
    </w:p>
    <w:p w14:paraId="78B0724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 ）所有的种子都具有种皮、胚和胚乳这三部分。</w:t>
      </w:r>
    </w:p>
    <w:p w14:paraId="5271426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 ）冬春季进行设施蔬菜育苗时适当降低棚内湿度有利于防止病害发生。</w:t>
      </w:r>
    </w:p>
    <w:p w14:paraId="6CBD14C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 ）番茄的茎为半直立性可利用扦插繁殖。</w:t>
      </w:r>
    </w:p>
    <w:p w14:paraId="64CAA0C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12.（ ）黄瓜在冬春季育苗时遇到冻害时，应该迅速升高温度。</w:t>
      </w:r>
    </w:p>
    <w:p w14:paraId="0FFB329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13.（ ）为防止蔬菜幼苗沤根，分苗应选择晴天进行，严禁大水漫灌。</w:t>
      </w:r>
    </w:p>
    <w:p w14:paraId="58295BE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14.（ ）发芽势是指在发芽试验终期全部正常发芽种子数占供试种子数的百分率。</w:t>
      </w:r>
    </w:p>
    <w:p w14:paraId="1EFDC9E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15.（ ）对于整株植物来说，衰老首先出现在叶片和根系。</w:t>
      </w:r>
    </w:p>
    <w:p w14:paraId="752FB35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16.（ ）蔬菜分苗期应根据秧苗的形态指标或生理苗龄来确定。</w:t>
      </w:r>
    </w:p>
    <w:p w14:paraId="183C50A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17.（ ）土壤中含量少的元素称为微量元素，含量多的称为大量元素。</w:t>
      </w:r>
    </w:p>
    <w:p w14:paraId="3A8A10A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18.（ ）瓜类蔬菜定植时一定要深栽。</w:t>
      </w:r>
    </w:p>
    <w:p w14:paraId="07BADD5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19.（ ）对于容易离皮的树种，嫁接时可用“T”形芽接方法。</w:t>
      </w:r>
    </w:p>
    <w:p w14:paraId="7941454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20.（ ）嫁接能够很好地防止番茄根腐病、青枯病、萎蔫病的发生。</w:t>
      </w:r>
    </w:p>
    <w:p w14:paraId="2249C82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21.（ ）多年生植物一生开多次花。</w:t>
      </w:r>
    </w:p>
    <w:p w14:paraId="6E7E1B0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22.（ ）蔬菜嫁接砧木的选择应与接穗具有较高的嫁接亲和力，以保证嫁接后伤口及时愈合。</w:t>
      </w:r>
    </w:p>
    <w:p w14:paraId="7F867F9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23.（ ）光照可以诱导愈伤组织的生长，促进嫁接成活。</w:t>
      </w:r>
    </w:p>
    <w:p w14:paraId="4AB18AD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24.（ ）目前生产上黄瓜嫁接可采用黑籽南瓜或白籽南瓜作为砧木。</w:t>
      </w:r>
    </w:p>
    <w:p w14:paraId="4DBE594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25.（ ）植物组织培养是人为控制培养条件，所以生长期长，繁殖率低，不利用自动化控制。</w:t>
      </w:r>
    </w:p>
    <w:p w14:paraId="1A773D0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26.（ ）蹲苗的方法依蔬菜种类、品质、土质、气候条件等的不同而有差异。</w:t>
      </w:r>
    </w:p>
    <w:p w14:paraId="598E14F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27.（ ）嫁接能够很好地防止黄瓜枯萎病的发生。</w:t>
      </w:r>
    </w:p>
    <w:p w14:paraId="3DDA7DA0">
      <w:pPr>
        <w:spacing w:line="360" w:lineRule="auto"/>
        <w:rPr>
          <w:rFonts w:ascii="仿宋_GB2312" w:eastAsia="仿宋_GB2312" w:cs="仿宋"/>
          <w:kern w:val="0"/>
          <w:sz w:val="28"/>
          <w:szCs w:val="28"/>
        </w:rPr>
      </w:pPr>
      <w:r>
        <w:rPr>
          <w:rFonts w:hint="eastAsia" w:ascii="仿宋_GB2312" w:eastAsia="仿宋_GB2312" w:cs="仿宋"/>
          <w:kern w:val="0"/>
          <w:sz w:val="28"/>
          <w:szCs w:val="28"/>
        </w:rPr>
        <w:t>28.（ ）冬季对植物喷洒防冻剂，实行地面覆盖、中耕利用大小拱棚和日光温室等，都可以增加大气逆辐射，减少地面有效辐射，使地面和一定范围内的空气温度保持稳定。</w:t>
      </w:r>
    </w:p>
    <w:p w14:paraId="63A2C45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29.（ ）一般来说，夏季植物白天长的慢，夜间长的快。</w:t>
      </w:r>
    </w:p>
    <w:p w14:paraId="72D07C3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30.（ ）土壤深翻抚育，一般4-5年一次，黏土可长，沙壤土宜短。</w:t>
      </w:r>
    </w:p>
    <w:p w14:paraId="6CC344F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31.（ ）现代化温室加温、加湿、遮阳、施肥等配套设施齐全，可以实现蔬菜的周年生产。</w:t>
      </w:r>
    </w:p>
    <w:p w14:paraId="3F4E1AE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32.（ ）相同几种固体基质以不同比例配制，其不同混合基质的物理性质和化学性质都相同。</w:t>
      </w:r>
    </w:p>
    <w:p w14:paraId="4A12AE8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33.（ ）茄果类蔬菜嫁接时砧木和接穗的切口选在第三片与第四片真叶之间。</w:t>
      </w:r>
    </w:p>
    <w:p w14:paraId="747CE17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34.（ ）无土栽培的技术效果，主要是改善了植物根系条件，包括水分、矿质营养和空气等。</w:t>
      </w:r>
    </w:p>
    <w:p w14:paraId="43A4F36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35.（ ）靠接适用于胚轴较粗的砧木种类，嫁接适期瓜类蔬菜为砧木子叶全展，第一片真叶显露，接穗第一片真叶始露至展开。</w:t>
      </w:r>
    </w:p>
    <w:p w14:paraId="38CE962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36.（ ）酸性土壤施用酸性肥料时，一定要配合施用石灰和有机肥料。</w:t>
      </w:r>
    </w:p>
    <w:p w14:paraId="1B16E77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37.（ ）蔬菜和水果在收获前，如发现虫害，可用乐果进行化学防治。</w:t>
      </w:r>
    </w:p>
    <w:p w14:paraId="3F7F161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38.（ ）蔬菜种子在贮藏期间含水量应控制在7%～9%之间。</w:t>
      </w:r>
    </w:p>
    <w:p w14:paraId="0CB0C74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39.（ ）烧根是由于苗床肥料过多，应将肥料与土壤充分混匀，严格控制施肥浓度，施用有机肥应充分腐熟。</w:t>
      </w:r>
    </w:p>
    <w:p w14:paraId="78BB64F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40.（ ）试验表明番茄生长与结实在昼夜恒温条件下比变温条件下长势好的多。</w:t>
      </w:r>
    </w:p>
    <w:p w14:paraId="0FB1713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41.（ ）目前无土栽培中用得最广泛的氮源和钙源肥料是硝酸钙。</w:t>
      </w:r>
    </w:p>
    <w:p w14:paraId="5CD6F0C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42.（ ）硝酸钾是一种生理碱性肥料。</w:t>
      </w:r>
    </w:p>
    <w:p w14:paraId="41E3508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43.（ ）在种子的萌发过程中，胚根部分最先突破种皮。</w:t>
      </w:r>
    </w:p>
    <w:p w14:paraId="5029BFD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44.（ ）嫁接成活的关键是维管束的相互连接，仅薄壁细胞愈合，或接穗在砧木组织中生根，不能算是嫁接成活。</w:t>
      </w:r>
    </w:p>
    <w:p w14:paraId="18DDB09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45.（ ）种植作物过程中，如果营养液的pH 值上升或下降到作物最适的pH 范围之外，就要用稀酸或稀碱溶液来中和调节营养液pH 值。</w:t>
      </w:r>
    </w:p>
    <w:p w14:paraId="7FB62CB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46.（ ）有机基质是一类由非土壤组成的有机物料经过无害化处理形成的栽培介质。</w:t>
      </w:r>
    </w:p>
    <w:p w14:paraId="502D327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47.（ ）单一基质在栽培作物时总会存在一些缺陷和不足。如容重过轻或过重、通气不良、保水性差等，故常将两种或两种以上的基质混合形成复合基质来使用。</w:t>
      </w:r>
    </w:p>
    <w:p w14:paraId="522D23A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48.（ ）嫁接是一种有性繁殖的主要手段。</w:t>
      </w:r>
    </w:p>
    <w:p w14:paraId="2E10A88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49.（ ）工厂化育苗时，穴盘中每穴一定不能播多粒种子。</w:t>
      </w:r>
    </w:p>
    <w:p w14:paraId="2C763E7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50.（ ）嫁接栽培是克服瓜菜等园艺作物连茬病害和低温障碍的最有效途径，抗病、增产效果显著。</w:t>
      </w:r>
    </w:p>
    <w:p w14:paraId="45899D1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51.（ ）无土栽培就是水培。</w:t>
      </w:r>
    </w:p>
    <w:p w14:paraId="1B4BA7B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52.（ ）利用实生苗繁殖的果木，播种期的确定是：温带常用春播和秋播；亚热带和热带全年均可播种。</w:t>
      </w:r>
    </w:p>
    <w:p w14:paraId="21324BE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53.（ ）西瓜砧木主要有葫芦、南瓜、冬瓜等，常用砧木为葫芦和南瓜。</w:t>
      </w:r>
    </w:p>
    <w:p w14:paraId="59CDE6F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54.（ ）无性繁殖主要包括自根苗繁殖和嫁接苗繁殖。</w:t>
      </w:r>
    </w:p>
    <w:p w14:paraId="46CCBDA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55.（ ）茄子黄萎病、番茄青枯病和枯萎病等均可通过嫁接得到有效的控制。</w:t>
      </w:r>
    </w:p>
    <w:p w14:paraId="69E453B3">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56.（ ）干旱季节移植果木，常用地膜覆盖，其主要作用是减少土壤水分蒸发，抑制杂草生长，提高地温。</w:t>
      </w:r>
    </w:p>
    <w:p w14:paraId="703F4E8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57.（ ）黄瓜与南瓜嫁接组合，插接时，用竹签紧贴南瓜子叶叶柄基部斜插，插孔深约0.3</w:t>
      </w:r>
      <w:r>
        <w:rPr>
          <w:rFonts w:hint="eastAsia" w:ascii="仿宋_GB2312" w:eastAsia="仿宋" w:cs="仿宋"/>
          <w:kern w:val="0"/>
          <w:sz w:val="28"/>
          <w:szCs w:val="28"/>
        </w:rPr>
        <w:t>㎝</w:t>
      </w:r>
      <w:r>
        <w:rPr>
          <w:rFonts w:hint="eastAsia" w:ascii="仿宋_GB2312" w:eastAsia="仿宋_GB2312" w:cs="仿宋"/>
          <w:kern w:val="0"/>
          <w:sz w:val="28"/>
          <w:szCs w:val="28"/>
        </w:rPr>
        <w:t>为宜。</w:t>
      </w:r>
    </w:p>
    <w:p w14:paraId="137834A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58.（ ）果树进行追肥必须结合灌水，肥效才能有效提高。</w:t>
      </w:r>
    </w:p>
    <w:p w14:paraId="2418C19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59.（ ）工厂化育苗条件下穴盘的穴格体积较小，基质持水量有限，加之无土基质的疏松和透气性较强，因此，基质水分状况变化较快，在成苗期间不需要每天必须浇灌。</w:t>
      </w:r>
    </w:p>
    <w:p w14:paraId="50F16D1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60.（ ）果树叶面施肥的时间多在上午10时以前和下午4时以后为宜。</w:t>
      </w:r>
    </w:p>
    <w:p w14:paraId="75F03D4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61.（ ）壮苗应有适宜的根冠比T/R 值。但具有适宜的T/R 值的秧苗不一定都是壮苗。</w:t>
      </w:r>
    </w:p>
    <w:p w14:paraId="5016346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62.（ ）危害果树苗木的地下害虫很多，但危害最重的是白土蚕，其防治的药物主要是辛硫膦和甲敌粉。</w:t>
      </w:r>
    </w:p>
    <w:p w14:paraId="2177555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63.（ ）现代化温室和先进的工程装备是工厂化育苗最重要的基础。</w:t>
      </w:r>
    </w:p>
    <w:p w14:paraId="71C529C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64.（ ）果树嫁接的方法很多，主要有芽接、枝接、根接、靠接和高接换种等。</w:t>
      </w:r>
    </w:p>
    <w:p w14:paraId="1FE1285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65.（ ）用元素重量/升表示营养液浓度可以作为不同的营养液配方之间元素浓度的比较。</w:t>
      </w:r>
    </w:p>
    <w:p w14:paraId="5B85D76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66.（ ）苹果适宜于温凉地区生长，以冬季寒冷，夏季凉爽干燥的气候为宜。</w:t>
      </w:r>
    </w:p>
    <w:p w14:paraId="402A022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67.（ ）种子生活力常用具有生命力的种子数占试验样品种子数的百分率表示。</w:t>
      </w:r>
    </w:p>
    <w:p w14:paraId="013AFDE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68.（ ）很多果树用实生苗法繁殖，其母本的优良性状，往往易发生变异。</w:t>
      </w:r>
    </w:p>
    <w:p w14:paraId="49BBF5F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69.（ ）蔬菜插接适用于胚轴较粗的砧木种类。</w:t>
      </w:r>
    </w:p>
    <w:p w14:paraId="1F68FD1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70.（ ）果树嫁接用的接穗或接芽要选自优良的母本树，以壮年树、外围枝、上部的无病虫害的健壮枝条或芽为好。</w:t>
      </w:r>
    </w:p>
    <w:p w14:paraId="67333CC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71.（ ）在实际生产过程中，应该选用一些生理酸碱性变化较平稳的营养液配方。</w:t>
      </w:r>
    </w:p>
    <w:p w14:paraId="44B4899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72.（ ）在果树嫁接技术上要求做到“三快”即：“刀具磨得快；动作快；接穗插入快” 。</w:t>
      </w:r>
    </w:p>
    <w:p w14:paraId="3722E4E0">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73.（ ）嫁接完成后，应立即将幼苗转入拱棚或其他类型的驯化设施中，创造良好的环境条件，促进接口愈合和嫁接成活。</w:t>
      </w:r>
    </w:p>
    <w:p w14:paraId="47B2E49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74.（ ）果木春接后15-20天，夏秋嫁接后20天以后，若芽片仍鲜绿即为成活象征，如已变黄则应及时补接或待春暖再接。</w:t>
      </w:r>
    </w:p>
    <w:p w14:paraId="76AD001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75.（ ）无土栽培的耗水量大约只有土壤栽培的1/4～1/10。</w:t>
      </w:r>
    </w:p>
    <w:p w14:paraId="54E2C29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76.（ ）杨梅多以普通压条繁殖为主嫁接繁殖为辅。</w:t>
      </w:r>
    </w:p>
    <w:p w14:paraId="3189630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77.（ ）蔬菜在育苗过程中，遇到灾害性天气，如连续阴天下雪切不可揭开草苫，以免幼苗受到冻害。</w:t>
      </w:r>
    </w:p>
    <w:p w14:paraId="291435B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78.（ ）果树生产上，疏去过多的花、果，调节生长和结果的矛盾，是防止大小年，达至丰产优质的有效措施。</w:t>
      </w:r>
    </w:p>
    <w:p w14:paraId="4827BBC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79.（ ）保护地苗床中采用地膜覆盖的方法可有效防止种子的戴帽出土。</w:t>
      </w:r>
    </w:p>
    <w:p w14:paraId="620E5A1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80.（ ）一株成年苹果树，花数可达数万至十数万，而结成果只有3000-5000个。</w:t>
      </w:r>
    </w:p>
    <w:p w14:paraId="6F04FCF8">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81.（ ）蔬菜秧苗锻炼的作用是使秧苗茎叶的碳水化合物含量提高、氮含量提高，花芽分化推迟。</w:t>
      </w:r>
    </w:p>
    <w:p w14:paraId="2218D90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82.（ ）南方种植苹果，适宜的立地条件是：海拔较高，坡度较缓，园地背风向阳、以1800-2500米的海拔长势较好。</w:t>
      </w:r>
    </w:p>
    <w:p w14:paraId="5C01446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83.（ ）蔬菜分苗主要是将集约培育的幼苗移栽到营养钵中或分苗床里，以扩大单株根系营养面积和叶片光合面积，促进幼苗矮壮。</w:t>
      </w:r>
    </w:p>
    <w:p w14:paraId="7DEB4B7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84.（ ）中国李对气候的适应力强，能耐寒和耐热，在南方各地均可栽培。</w:t>
      </w:r>
    </w:p>
    <w:p w14:paraId="7667C92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85.（ ）通常情况下，下午嫁接的蔬菜苗成活率高于上午。</w:t>
      </w:r>
    </w:p>
    <w:p w14:paraId="2C52AE9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86.（ ）梅当前常用扦插或嫁接育苗，为提高商品质量，则应采用嫁接育苗。</w:t>
      </w:r>
    </w:p>
    <w:p w14:paraId="21B2DD45">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87.（ ）蔬菜幼苗发芽期的破心阶段易徒长形成“高脚苗”。</w:t>
      </w:r>
    </w:p>
    <w:p w14:paraId="7A2E992E">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88.（ ）葡萄育苗主要采用扦插，其次是压条，但为了增强抗逆性，也可以用嫁接育苗。</w:t>
      </w:r>
    </w:p>
    <w:p w14:paraId="4AB8391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89.（ ）母液配制中，一般将其配方中的化合物分为三类，其配成的浓缩液分别称为A 母液、B 母液、C 母液。</w:t>
      </w:r>
    </w:p>
    <w:p w14:paraId="495AE65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90.（ ）柿子脱涩的方法有温水脱涩和石灰水脱涩两种。</w:t>
      </w:r>
    </w:p>
    <w:p w14:paraId="09B3197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91.（ ）营养液的管理主要指浓度、酸碱度（pH）、溶存氧、液温等方面的合理调节管理。</w:t>
      </w:r>
    </w:p>
    <w:p w14:paraId="3CA1857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92.（ ）核桃嫁接苗开始结果的年龄比实生苗早，管理得好3-4年开始结果，15-20年进入盛果期。</w:t>
      </w:r>
    </w:p>
    <w:p w14:paraId="79C843C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93.（ ）无土育苗过程中，配制营养液的氮源应以铵态氮为主。</w:t>
      </w:r>
    </w:p>
    <w:p w14:paraId="1E29349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94.（ ）核桃树修剪以春季最适宜，成年树，在采果后的10月前后，叶沿未变黄之前进行。</w:t>
      </w:r>
    </w:p>
    <w:p w14:paraId="50A48AA2">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95.（ ）山楂是利用种子繁殖，但是为了提高出芽率，要进行冷热处理或浓硫酸处理。</w:t>
      </w:r>
    </w:p>
    <w:p w14:paraId="16E4E6A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96.（ ）核桃嫁接时如果刀具锋利，操作讯速，前平滑，使少接触空气，则就能大大提高嫁接成活率。</w:t>
      </w:r>
    </w:p>
    <w:p w14:paraId="0F00ED2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97.（ ）瓜类蔬菜的嫁接最适时期为接穗子叶全展。砧木子叶展平，第一片真叶显露到初展。</w:t>
      </w:r>
    </w:p>
    <w:p w14:paraId="026C27AD">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98.（ ）石榴扦插苗种植后一般2-3年结果，在第10年左右进入盛果期。</w:t>
      </w:r>
    </w:p>
    <w:p w14:paraId="4A37B11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99.（ ）石榴的繁殖方法有扦插繁殖和压条繁殖两种。</w:t>
      </w:r>
    </w:p>
    <w:p w14:paraId="0635ED61">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100.（ ）嫁接育苗的作用有防止土传病害、提高产量、增强植株的抗逆性等。</w:t>
      </w:r>
    </w:p>
    <w:p w14:paraId="241444A6">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101.（ ）药液浸种在种子浸入药液前，通常应先在清水中浸泡3～4 小时。</w:t>
      </w:r>
    </w:p>
    <w:p w14:paraId="3F20CE1C">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102.（ ）黄瓜苗期可以通过增大昼夜温差来增强黄瓜的抗逆性。</w:t>
      </w:r>
    </w:p>
    <w:p w14:paraId="638725C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103.（ ）浸种时对种皮上有黏液的种子，可以用2%～5%的碱液搓洗，以利于种子萌发。</w:t>
      </w:r>
    </w:p>
    <w:p w14:paraId="7160F9A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104.（ ）通常嫁接苗定植前2 周左右时间为低温炼苗期。</w:t>
      </w:r>
    </w:p>
    <w:p w14:paraId="38B0B7A7">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105.（ ）</w:t>
      </w:r>
      <w:r>
        <w:rPr>
          <w:rFonts w:hint="eastAsia" w:ascii="仿宋" w:hAnsi="仿宋" w:eastAsia="仿宋"/>
          <w:sz w:val="28"/>
          <w:szCs w:val="28"/>
        </w:rPr>
        <w:t>北方落叶果树在春季气温逐渐回升，砧木树液开始流动，接穗尚未发芽，是果树嫁接的黄金时段</w:t>
      </w:r>
      <w:r>
        <w:rPr>
          <w:rFonts w:hint="eastAsia" w:ascii="仿宋_GB2312" w:eastAsia="仿宋_GB2312" w:cs="仿宋"/>
          <w:kern w:val="0"/>
          <w:sz w:val="28"/>
          <w:szCs w:val="28"/>
        </w:rPr>
        <w:t>。</w:t>
      </w:r>
    </w:p>
    <w:p w14:paraId="783124AF">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106.（ ）营养液的酸碱度直接影响到养分的溶解度和根系的吸收功能。</w:t>
      </w:r>
    </w:p>
    <w:p w14:paraId="5C4691EA">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107.（ ）一般幼龄苗的营养液浓度应稍高一些，随着秧苗生长，浓度逐渐降低。</w:t>
      </w:r>
    </w:p>
    <w:p w14:paraId="6B815D09">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108.（ ）不同作物对营养液浓度要求不同，同一作物在不同生育时期也不一样。</w:t>
      </w:r>
    </w:p>
    <w:p w14:paraId="24B6C0B4">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109.（ ）水培育苗的主要设施包括育苗床、育苗板、营养液循环系统、自动控制系统和营养液消毒装置。</w:t>
      </w:r>
    </w:p>
    <w:p w14:paraId="5F61640B">
      <w:pPr>
        <w:autoSpaceDE w:val="0"/>
        <w:autoSpaceDN w:val="0"/>
        <w:adjustRightInd w:val="0"/>
        <w:jc w:val="left"/>
        <w:rPr>
          <w:rFonts w:ascii="仿宋_GB2312" w:eastAsia="仿宋_GB2312" w:cs="仿宋"/>
          <w:kern w:val="0"/>
          <w:sz w:val="28"/>
          <w:szCs w:val="28"/>
        </w:rPr>
      </w:pPr>
      <w:r>
        <w:rPr>
          <w:rFonts w:hint="eastAsia" w:ascii="仿宋_GB2312" w:eastAsia="仿宋_GB2312" w:cs="仿宋"/>
          <w:kern w:val="0"/>
          <w:sz w:val="28"/>
          <w:szCs w:val="28"/>
        </w:rPr>
        <w:t>110.（ ）根系分泌的酸性物质，使基质酸性增强，导致连作障碍，但基质培连续多次种植，某一植物能正常生长。</w:t>
      </w:r>
    </w:p>
    <w:p w14:paraId="668FFDCD">
      <w:pPr>
        <w:rPr>
          <w:rFonts w:ascii="仿宋_GB2312" w:eastAsia="仿宋_GB2312"/>
          <w:sz w:val="28"/>
          <w:szCs w:val="28"/>
        </w:rPr>
      </w:pPr>
      <w:r>
        <w:rPr>
          <w:rFonts w:hint="eastAsia" w:ascii="仿宋_GB2312" w:eastAsia="仿宋_GB2312"/>
          <w:sz w:val="28"/>
          <w:szCs w:val="28"/>
        </w:rPr>
        <w:t xml:space="preserve">111.（ ）无土栽培的理论基础是“矿质营养学说”。  </w:t>
      </w:r>
    </w:p>
    <w:p w14:paraId="3A639E95">
      <w:pPr>
        <w:rPr>
          <w:rFonts w:ascii="仿宋_GB2312" w:eastAsia="仿宋_GB2312"/>
          <w:sz w:val="28"/>
          <w:szCs w:val="28"/>
        </w:rPr>
      </w:pPr>
      <w:r>
        <w:rPr>
          <w:rFonts w:hint="eastAsia" w:ascii="仿宋_GB2312" w:eastAsia="仿宋_GB2312"/>
          <w:sz w:val="28"/>
          <w:szCs w:val="28"/>
        </w:rPr>
        <w:t>112.（ ）</w:t>
      </w:r>
      <w:r>
        <w:rPr>
          <w:rFonts w:hint="eastAsia" w:ascii="仿宋" w:hAnsi="仿宋" w:eastAsia="仿宋"/>
          <w:sz w:val="28"/>
          <w:szCs w:val="28"/>
        </w:rPr>
        <w:t>温度是影响果树嫁接成活的主要因素。温度偏低，愈合组织增生较慢，温度偏高，抑制或破坏愈伤组织的恢复和发育，都会降低嫁接成活率</w:t>
      </w:r>
      <w:r>
        <w:rPr>
          <w:rFonts w:hint="eastAsia" w:ascii="仿宋_GB2312" w:eastAsia="仿宋_GB2312"/>
          <w:sz w:val="28"/>
          <w:szCs w:val="28"/>
        </w:rPr>
        <w:t>。</w:t>
      </w:r>
    </w:p>
    <w:p w14:paraId="38E9BCFE">
      <w:pPr>
        <w:rPr>
          <w:rFonts w:ascii="仿宋_GB2312" w:eastAsia="仿宋_GB2312"/>
          <w:sz w:val="28"/>
          <w:szCs w:val="28"/>
        </w:rPr>
      </w:pPr>
      <w:r>
        <w:rPr>
          <w:rFonts w:hint="eastAsia" w:ascii="仿宋_GB2312" w:eastAsia="仿宋_GB2312"/>
          <w:sz w:val="28"/>
          <w:szCs w:val="28"/>
        </w:rPr>
        <w:t>113.（ ）</w:t>
      </w:r>
      <w:r>
        <w:rPr>
          <w:rFonts w:hint="eastAsia" w:ascii="仿宋" w:hAnsi="仿宋" w:eastAsia="仿宋"/>
          <w:sz w:val="28"/>
          <w:szCs w:val="28"/>
        </w:rPr>
        <w:t>在大量果树嫁接实施时，为避免接穗过分失水，多采用湿布包裹接穗的方法保湿</w:t>
      </w:r>
      <w:r>
        <w:rPr>
          <w:rFonts w:hint="eastAsia" w:ascii="仿宋_GB2312" w:eastAsia="仿宋_GB2312"/>
          <w:sz w:val="28"/>
          <w:szCs w:val="28"/>
        </w:rPr>
        <w:t>。</w:t>
      </w:r>
    </w:p>
    <w:p w14:paraId="3CBC1CC0">
      <w:pPr>
        <w:rPr>
          <w:rFonts w:ascii="仿宋_GB2312" w:eastAsia="仿宋_GB2312"/>
          <w:sz w:val="28"/>
          <w:szCs w:val="28"/>
        </w:rPr>
      </w:pPr>
      <w:r>
        <w:rPr>
          <w:rFonts w:hint="eastAsia" w:ascii="仿宋_GB2312" w:eastAsia="仿宋_GB2312"/>
          <w:sz w:val="28"/>
          <w:szCs w:val="28"/>
        </w:rPr>
        <w:t>114.（ ）无土栽培现在处于大规模集约化、自动化生产应用时期。</w:t>
      </w:r>
    </w:p>
    <w:p w14:paraId="1F94FA1A">
      <w:pPr>
        <w:rPr>
          <w:rFonts w:ascii="仿宋_GB2312" w:eastAsia="仿宋_GB2312"/>
          <w:sz w:val="28"/>
          <w:szCs w:val="28"/>
        </w:rPr>
      </w:pPr>
      <w:r>
        <w:rPr>
          <w:rFonts w:hint="eastAsia" w:ascii="仿宋_GB2312" w:eastAsia="仿宋_GB2312"/>
          <w:sz w:val="28"/>
          <w:szCs w:val="28"/>
        </w:rPr>
        <w:t>115.（ ）有机生态型无土栽培的生产成本低。</w:t>
      </w:r>
    </w:p>
    <w:p w14:paraId="055D4630">
      <w:pPr>
        <w:rPr>
          <w:rFonts w:ascii="仿宋_GB2312" w:eastAsia="仿宋_GB2312"/>
          <w:sz w:val="28"/>
          <w:szCs w:val="28"/>
        </w:rPr>
      </w:pPr>
      <w:r>
        <w:rPr>
          <w:rFonts w:hint="eastAsia" w:ascii="仿宋_GB2312" w:eastAsia="仿宋_GB2312"/>
          <w:sz w:val="28"/>
          <w:szCs w:val="28"/>
        </w:rPr>
        <w:t>116.（ ）</w:t>
      </w:r>
      <w:r>
        <w:rPr>
          <w:rFonts w:hint="eastAsia" w:ascii="仿宋" w:hAnsi="仿宋" w:eastAsia="仿宋"/>
          <w:sz w:val="28"/>
          <w:szCs w:val="28"/>
        </w:rPr>
        <w:t>光线对愈伤组织生长有抑制作用，接穗嫁接到砧木上后，应保持嫁接口避光，严密包扎。所以嫁接时无需避开阴雨天、雾天等光照少的天气</w:t>
      </w:r>
      <w:r>
        <w:rPr>
          <w:rFonts w:hint="eastAsia" w:ascii="仿宋_GB2312" w:eastAsia="仿宋_GB2312"/>
          <w:sz w:val="28"/>
          <w:szCs w:val="28"/>
        </w:rPr>
        <w:t>。</w:t>
      </w:r>
    </w:p>
    <w:p w14:paraId="708A189D">
      <w:pPr>
        <w:rPr>
          <w:rFonts w:ascii="仿宋_GB2312" w:eastAsia="仿宋_GB2312"/>
          <w:sz w:val="28"/>
          <w:szCs w:val="28"/>
        </w:rPr>
      </w:pPr>
      <w:r>
        <w:rPr>
          <w:rFonts w:hint="eastAsia" w:ascii="仿宋_GB2312" w:eastAsia="仿宋_GB2312"/>
          <w:sz w:val="28"/>
          <w:szCs w:val="28"/>
        </w:rPr>
        <w:t>117.（ ）</w:t>
      </w:r>
      <w:r>
        <w:rPr>
          <w:rFonts w:hint="eastAsia" w:ascii="仿宋" w:hAnsi="仿宋" w:eastAsia="仿宋"/>
          <w:sz w:val="28"/>
          <w:szCs w:val="28"/>
        </w:rPr>
        <w:t>果树病毒病害不会通过嫁接传染给后代苗木</w:t>
      </w:r>
      <w:r>
        <w:rPr>
          <w:rFonts w:hint="eastAsia" w:ascii="仿宋_GB2312" w:eastAsia="仿宋_GB2312"/>
          <w:sz w:val="28"/>
          <w:szCs w:val="28"/>
        </w:rPr>
        <w:t>。</w:t>
      </w:r>
    </w:p>
    <w:p w14:paraId="0E1EF103">
      <w:pPr>
        <w:spacing w:line="360" w:lineRule="auto"/>
        <w:rPr>
          <w:rFonts w:ascii="仿宋" w:hAnsi="仿宋" w:eastAsia="仿宋"/>
          <w:sz w:val="28"/>
          <w:szCs w:val="28"/>
        </w:rPr>
      </w:pPr>
      <w:r>
        <w:rPr>
          <w:rFonts w:hint="eastAsia" w:ascii="仿宋_GB2312" w:eastAsia="仿宋_GB2312"/>
          <w:sz w:val="28"/>
          <w:szCs w:val="28"/>
        </w:rPr>
        <w:t>118.（ ）</w:t>
      </w:r>
      <w:r>
        <w:rPr>
          <w:rFonts w:hint="eastAsia" w:ascii="仿宋" w:hAnsi="仿宋" w:eastAsia="仿宋"/>
          <w:sz w:val="28"/>
          <w:szCs w:val="28"/>
        </w:rPr>
        <w:t>改良果树品种的嫁接，都可选择在早春嫁接，有利于幼枝生长和树冠的形成。</w:t>
      </w:r>
    </w:p>
    <w:p w14:paraId="54FA2503">
      <w:pPr>
        <w:rPr>
          <w:rFonts w:ascii="仿宋_GB2312" w:eastAsia="仿宋_GB2312"/>
          <w:color w:val="0000FF"/>
          <w:sz w:val="28"/>
          <w:szCs w:val="28"/>
        </w:rPr>
      </w:pPr>
      <w:r>
        <w:rPr>
          <w:rFonts w:hint="eastAsia" w:ascii="仿宋_GB2312" w:eastAsia="仿宋_GB2312"/>
          <w:sz w:val="28"/>
          <w:szCs w:val="28"/>
        </w:rPr>
        <w:t>119.（ ）无土栽培能够避免土壤连作障碍。</w:t>
      </w:r>
    </w:p>
    <w:p w14:paraId="4059F4F3">
      <w:pPr>
        <w:rPr>
          <w:rFonts w:ascii="仿宋_GB2312" w:eastAsia="仿宋_GB2312"/>
          <w:sz w:val="28"/>
          <w:szCs w:val="28"/>
        </w:rPr>
      </w:pPr>
      <w:r>
        <w:rPr>
          <w:rFonts w:hint="eastAsia" w:ascii="仿宋_GB2312" w:eastAsia="仿宋_GB2312"/>
          <w:sz w:val="28"/>
          <w:szCs w:val="28"/>
        </w:rPr>
        <w:t>120.（ ）无土栽培如管理不当，易造成某些病害的大范围传播。</w:t>
      </w:r>
    </w:p>
    <w:p w14:paraId="7192A41F">
      <w:pPr>
        <w:rPr>
          <w:rFonts w:ascii="仿宋_GB2312" w:eastAsia="仿宋_GB2312"/>
          <w:sz w:val="28"/>
          <w:szCs w:val="28"/>
        </w:rPr>
      </w:pPr>
      <w:r>
        <w:rPr>
          <w:rFonts w:hint="eastAsia" w:ascii="仿宋_GB2312" w:eastAsia="仿宋_GB2312"/>
          <w:sz w:val="28"/>
          <w:szCs w:val="28"/>
        </w:rPr>
        <w:t>121.（ ）</w:t>
      </w:r>
      <w:r>
        <w:rPr>
          <w:rFonts w:hint="eastAsia" w:ascii="仿宋" w:hAnsi="仿宋" w:eastAsia="仿宋"/>
          <w:sz w:val="28"/>
          <w:szCs w:val="28"/>
        </w:rPr>
        <w:t>让同一棵苹果树上结出“国光”“红富土”等不同品种的苹果，只能采用嫁接技术才能实现</w:t>
      </w:r>
      <w:r>
        <w:rPr>
          <w:rFonts w:hint="eastAsia" w:ascii="仿宋_GB2312" w:eastAsia="仿宋_GB2312"/>
          <w:sz w:val="28"/>
          <w:szCs w:val="28"/>
        </w:rPr>
        <w:t>。</w:t>
      </w:r>
    </w:p>
    <w:p w14:paraId="72805703">
      <w:pPr>
        <w:rPr>
          <w:rFonts w:ascii="仿宋_GB2312" w:eastAsia="仿宋_GB2312"/>
          <w:sz w:val="28"/>
          <w:szCs w:val="28"/>
        </w:rPr>
      </w:pPr>
      <w:r>
        <w:rPr>
          <w:rFonts w:hint="eastAsia" w:ascii="仿宋_GB2312" w:eastAsia="仿宋_GB2312"/>
          <w:sz w:val="28"/>
          <w:szCs w:val="28"/>
        </w:rPr>
        <w:t>122.（ ）地膜覆盖栽培必须一次性施足基肥。</w:t>
      </w:r>
    </w:p>
    <w:p w14:paraId="1F937E44">
      <w:pPr>
        <w:rPr>
          <w:rFonts w:ascii="仿宋_GB2312" w:eastAsia="仿宋_GB2312"/>
          <w:sz w:val="28"/>
          <w:szCs w:val="28"/>
        </w:rPr>
      </w:pPr>
      <w:r>
        <w:rPr>
          <w:rFonts w:hint="eastAsia" w:ascii="仿宋_GB2312" w:eastAsia="仿宋_GB2312"/>
          <w:sz w:val="28"/>
          <w:szCs w:val="28"/>
        </w:rPr>
        <w:t>123.（ ）地膜覆盖栽培，在作物生长的前期应多施氮肥。</w:t>
      </w:r>
    </w:p>
    <w:p w14:paraId="28A1CA92">
      <w:pPr>
        <w:rPr>
          <w:rFonts w:ascii="仿宋_GB2312" w:eastAsia="仿宋_GB2312"/>
          <w:sz w:val="28"/>
          <w:szCs w:val="28"/>
        </w:rPr>
      </w:pPr>
      <w:r>
        <w:rPr>
          <w:rFonts w:hint="eastAsia" w:ascii="仿宋_GB2312" w:eastAsia="仿宋_GB2312"/>
          <w:sz w:val="28"/>
          <w:szCs w:val="28"/>
        </w:rPr>
        <w:t>124.（ ）</w:t>
      </w:r>
      <w:r>
        <w:rPr>
          <w:rFonts w:hint="eastAsia" w:ascii="仿宋" w:hAnsi="仿宋" w:eastAsia="仿宋"/>
          <w:sz w:val="28"/>
          <w:szCs w:val="28"/>
        </w:rPr>
        <w:t>在杜梨的枝条上嫁接鸭梨枝条，则嫁接后的枝条上结出的一定是鸭梨</w:t>
      </w:r>
      <w:r>
        <w:rPr>
          <w:rFonts w:hint="eastAsia" w:ascii="仿宋_GB2312" w:eastAsia="仿宋_GB2312"/>
          <w:sz w:val="28"/>
          <w:szCs w:val="28"/>
        </w:rPr>
        <w:t>。</w:t>
      </w:r>
    </w:p>
    <w:p w14:paraId="28856663">
      <w:pPr>
        <w:rPr>
          <w:rFonts w:ascii="仿宋_GB2312" w:eastAsia="仿宋_GB2312"/>
          <w:sz w:val="28"/>
          <w:szCs w:val="28"/>
        </w:rPr>
      </w:pPr>
      <w:r>
        <w:rPr>
          <w:rFonts w:hint="eastAsia" w:ascii="仿宋_GB2312" w:eastAsia="仿宋_GB2312"/>
          <w:sz w:val="28"/>
          <w:szCs w:val="28"/>
        </w:rPr>
        <w:t>125.（ ）小拱棚内气温分布均匀。</w:t>
      </w:r>
    </w:p>
    <w:p w14:paraId="33A7501D">
      <w:pPr>
        <w:rPr>
          <w:rFonts w:ascii="仿宋_GB2312" w:eastAsia="仿宋_GB2312"/>
          <w:sz w:val="28"/>
          <w:szCs w:val="28"/>
        </w:rPr>
      </w:pPr>
      <w:r>
        <w:rPr>
          <w:rFonts w:hint="eastAsia" w:ascii="仿宋_GB2312" w:eastAsia="仿宋_GB2312"/>
          <w:sz w:val="28"/>
          <w:szCs w:val="28"/>
        </w:rPr>
        <w:t>126.（ ）连栋大棚在密闭的情况下，棚温升高，相对湿度升高；棚温降低，相对湿度降低。</w:t>
      </w:r>
    </w:p>
    <w:p w14:paraId="54D56398">
      <w:pPr>
        <w:rPr>
          <w:rFonts w:ascii="仿宋_GB2312" w:eastAsia="仿宋_GB2312"/>
          <w:sz w:val="28"/>
          <w:szCs w:val="28"/>
        </w:rPr>
      </w:pPr>
      <w:r>
        <w:rPr>
          <w:rFonts w:hint="eastAsia" w:ascii="仿宋_GB2312" w:eastAsia="仿宋_GB2312"/>
          <w:sz w:val="28"/>
          <w:szCs w:val="28"/>
        </w:rPr>
        <w:t>127.（ ）一般大型设施的温度日变化剧烈，日较差大。</w:t>
      </w:r>
    </w:p>
    <w:p w14:paraId="24D5FDF2">
      <w:pPr>
        <w:rPr>
          <w:rFonts w:ascii="仿宋_GB2312" w:eastAsia="仿宋_GB2312"/>
          <w:sz w:val="28"/>
          <w:szCs w:val="28"/>
        </w:rPr>
      </w:pPr>
      <w:r>
        <w:rPr>
          <w:rFonts w:hint="eastAsia" w:ascii="仿宋_GB2312" w:eastAsia="仿宋_GB2312"/>
          <w:sz w:val="28"/>
          <w:szCs w:val="28"/>
        </w:rPr>
        <w:t>128.（ ）晴天白天设施内大部分时间里的二氧化碳浓度低于适宜浓度。</w:t>
      </w:r>
    </w:p>
    <w:p w14:paraId="3D7F9AE6">
      <w:pPr>
        <w:rPr>
          <w:rFonts w:ascii="仿宋_GB2312" w:eastAsia="仿宋_GB2312"/>
          <w:sz w:val="28"/>
          <w:szCs w:val="28"/>
        </w:rPr>
      </w:pPr>
      <w:r>
        <w:rPr>
          <w:rFonts w:hint="eastAsia" w:ascii="仿宋_GB2312" w:eastAsia="仿宋_GB2312"/>
          <w:sz w:val="28"/>
          <w:szCs w:val="28"/>
        </w:rPr>
        <w:t>129.（ ）蔬菜的食用器官包括根、茎、叶、花、果实、种子和菌丝体等。</w:t>
      </w:r>
    </w:p>
    <w:p w14:paraId="05E7F7E9">
      <w:pPr>
        <w:rPr>
          <w:rFonts w:ascii="仿宋_GB2312" w:eastAsia="仿宋_GB2312"/>
          <w:sz w:val="28"/>
          <w:szCs w:val="28"/>
        </w:rPr>
      </w:pPr>
      <w:r>
        <w:rPr>
          <w:rFonts w:hint="eastAsia" w:ascii="仿宋_GB2312" w:eastAsia="仿宋_GB2312"/>
          <w:sz w:val="28"/>
          <w:szCs w:val="28"/>
        </w:rPr>
        <w:t>130.（ ）</w:t>
      </w:r>
      <w:r>
        <w:rPr>
          <w:rFonts w:hint="eastAsia" w:ascii="仿宋" w:hAnsi="仿宋" w:eastAsia="仿宋"/>
          <w:sz w:val="28"/>
          <w:szCs w:val="28"/>
        </w:rPr>
        <w:t>“T”形芽接用塑料条捆扎绑缚时，先在芽上方扎紧一道，再在芽下方捆紧一道，然后连缠三四下，系活扣。注意露出叶柄，露芽不露芽均可</w:t>
      </w:r>
      <w:r>
        <w:rPr>
          <w:rFonts w:hint="eastAsia" w:ascii="仿宋_GB2312" w:eastAsia="仿宋_GB2312"/>
          <w:sz w:val="28"/>
          <w:szCs w:val="28"/>
        </w:rPr>
        <w:t>。</w:t>
      </w:r>
    </w:p>
    <w:p w14:paraId="4C18DC51">
      <w:pPr>
        <w:rPr>
          <w:rFonts w:ascii="仿宋_GB2312" w:eastAsia="仿宋_GB2312"/>
          <w:sz w:val="28"/>
          <w:szCs w:val="28"/>
        </w:rPr>
      </w:pPr>
      <w:r>
        <w:rPr>
          <w:rFonts w:hint="eastAsia" w:ascii="仿宋_GB2312" w:eastAsia="仿宋_GB2312"/>
          <w:sz w:val="28"/>
          <w:szCs w:val="28"/>
        </w:rPr>
        <w:t>131.（ ）一般设施的透光量随着太阳光线入射角的增大而增大。</w:t>
      </w:r>
    </w:p>
    <w:p w14:paraId="5A41A16E">
      <w:pPr>
        <w:rPr>
          <w:rFonts w:ascii="仿宋_GB2312" w:eastAsia="仿宋_GB2312"/>
          <w:sz w:val="28"/>
          <w:szCs w:val="28"/>
        </w:rPr>
      </w:pPr>
      <w:r>
        <w:rPr>
          <w:rFonts w:hint="eastAsia" w:ascii="仿宋_GB2312" w:eastAsia="仿宋_GB2312"/>
          <w:sz w:val="28"/>
          <w:szCs w:val="28"/>
        </w:rPr>
        <w:t>132.（ ）温室内的光照分布，一般表现为：由下向上，逐渐增强。</w:t>
      </w:r>
    </w:p>
    <w:p w14:paraId="3ADDE681">
      <w:pPr>
        <w:rPr>
          <w:rFonts w:ascii="仿宋_GB2312" w:eastAsia="仿宋_GB2312"/>
          <w:sz w:val="28"/>
          <w:szCs w:val="28"/>
        </w:rPr>
      </w:pPr>
      <w:r>
        <w:rPr>
          <w:rFonts w:hint="eastAsia" w:ascii="仿宋_GB2312" w:eastAsia="仿宋_GB2312"/>
          <w:sz w:val="28"/>
          <w:szCs w:val="28"/>
        </w:rPr>
        <w:t>133.（ ）塑料大棚的跨度和高度越大，棚中部光照越强。</w:t>
      </w:r>
    </w:p>
    <w:p w14:paraId="7C1E5229">
      <w:pPr>
        <w:rPr>
          <w:rFonts w:ascii="仿宋_GB2312" w:eastAsia="仿宋_GB2312"/>
          <w:sz w:val="28"/>
          <w:szCs w:val="28"/>
        </w:rPr>
      </w:pPr>
      <w:r>
        <w:rPr>
          <w:rFonts w:hint="eastAsia" w:ascii="仿宋_GB2312" w:eastAsia="仿宋_GB2312"/>
          <w:sz w:val="28"/>
          <w:szCs w:val="28"/>
        </w:rPr>
        <w:t>134.（ ）土壤湿度的变化幅度比空气湿度的变化小。</w:t>
      </w:r>
    </w:p>
    <w:p w14:paraId="132589FA">
      <w:pPr>
        <w:rPr>
          <w:rFonts w:ascii="仿宋_GB2312" w:eastAsia="仿宋_GB2312"/>
          <w:sz w:val="28"/>
          <w:szCs w:val="28"/>
        </w:rPr>
      </w:pPr>
      <w:r>
        <w:rPr>
          <w:rFonts w:hint="eastAsia" w:ascii="仿宋_GB2312" w:eastAsia="仿宋_GB2312"/>
          <w:sz w:val="28"/>
          <w:szCs w:val="28"/>
        </w:rPr>
        <w:t>135.（ ）一般，设施内一天中的空气相对湿度最高值出现在中午气温达最大值时。</w:t>
      </w:r>
    </w:p>
    <w:p w14:paraId="7595BE59">
      <w:pPr>
        <w:rPr>
          <w:rFonts w:ascii="仿宋_GB2312" w:eastAsia="仿宋_GB2312"/>
          <w:sz w:val="28"/>
          <w:szCs w:val="28"/>
        </w:rPr>
      </w:pPr>
      <w:r>
        <w:rPr>
          <w:rFonts w:hint="eastAsia" w:ascii="仿宋_GB2312" w:eastAsia="仿宋_GB2312"/>
          <w:sz w:val="28"/>
          <w:szCs w:val="28"/>
        </w:rPr>
        <w:t>136.（ ）设施栽培韭菜的品种应选生长迅速，抗寒力强，丰产而优质的品种。</w:t>
      </w:r>
    </w:p>
    <w:p w14:paraId="30B57841">
      <w:pPr>
        <w:rPr>
          <w:rFonts w:ascii="仿宋_GB2312" w:eastAsia="仿宋_GB2312"/>
          <w:sz w:val="28"/>
          <w:szCs w:val="28"/>
        </w:rPr>
      </w:pPr>
      <w:r>
        <w:rPr>
          <w:rFonts w:hint="eastAsia" w:ascii="仿宋_GB2312" w:eastAsia="仿宋_GB2312"/>
          <w:sz w:val="28"/>
          <w:szCs w:val="28"/>
        </w:rPr>
        <w:t>137.（ ）</w:t>
      </w:r>
      <w:r>
        <w:rPr>
          <w:rFonts w:hint="eastAsia" w:ascii="仿宋" w:hAnsi="仿宋" w:eastAsia="仿宋"/>
          <w:sz w:val="28"/>
          <w:szCs w:val="28"/>
        </w:rPr>
        <w:t>果树的嫁接、扦插，农作物的播种都属于有性生殖</w:t>
      </w:r>
      <w:r>
        <w:rPr>
          <w:rFonts w:hint="eastAsia" w:ascii="仿宋_GB2312" w:eastAsia="仿宋_GB2312"/>
          <w:sz w:val="28"/>
          <w:szCs w:val="28"/>
        </w:rPr>
        <w:t>。</w:t>
      </w:r>
    </w:p>
    <w:p w14:paraId="3C74492C">
      <w:pPr>
        <w:rPr>
          <w:rFonts w:ascii="仿宋_GB2312" w:eastAsia="仿宋_GB2312"/>
          <w:sz w:val="28"/>
          <w:szCs w:val="28"/>
        </w:rPr>
      </w:pPr>
      <w:r>
        <w:rPr>
          <w:rFonts w:hint="eastAsia" w:ascii="仿宋_GB2312" w:eastAsia="仿宋_GB2312"/>
          <w:sz w:val="28"/>
          <w:szCs w:val="28"/>
        </w:rPr>
        <w:t>138.（ ）马铃薯适宜在微酸性土壤中生长，最适宜的土壤pH是5.5～6.5。</w:t>
      </w:r>
    </w:p>
    <w:p w14:paraId="09644E59">
      <w:pPr>
        <w:rPr>
          <w:rFonts w:ascii="仿宋_GB2312" w:eastAsia="仿宋_GB2312"/>
          <w:sz w:val="28"/>
          <w:szCs w:val="28"/>
        </w:rPr>
      </w:pPr>
      <w:r>
        <w:rPr>
          <w:rFonts w:hint="eastAsia" w:ascii="仿宋_GB2312" w:eastAsia="仿宋_GB2312"/>
          <w:sz w:val="28"/>
          <w:szCs w:val="28"/>
        </w:rPr>
        <w:t>139.（ ）黄秋葵主要以采收嫩果荚为主，也有采收花和种子进行加工的。</w:t>
      </w:r>
    </w:p>
    <w:p w14:paraId="7AB69979">
      <w:pPr>
        <w:rPr>
          <w:rFonts w:ascii="仿宋_GB2312" w:eastAsia="仿宋_GB2312"/>
          <w:sz w:val="28"/>
          <w:szCs w:val="28"/>
        </w:rPr>
      </w:pPr>
      <w:r>
        <w:rPr>
          <w:rFonts w:hint="eastAsia" w:ascii="仿宋_GB2312" w:eastAsia="仿宋_GB2312"/>
          <w:sz w:val="28"/>
          <w:szCs w:val="28"/>
        </w:rPr>
        <w:t>140.（ ）生姜的发芽期是指种姜幼芽萌动至第1片姜叶展开，需30d。</w:t>
      </w:r>
    </w:p>
    <w:p w14:paraId="1D34242F">
      <w:pPr>
        <w:spacing w:line="360" w:lineRule="auto"/>
        <w:rPr>
          <w:rFonts w:ascii="仿宋_GB2312" w:eastAsia="仿宋_GB2312"/>
          <w:sz w:val="28"/>
          <w:szCs w:val="28"/>
        </w:rPr>
      </w:pPr>
      <w:r>
        <w:rPr>
          <w:rFonts w:hint="eastAsia" w:ascii="仿宋_GB2312" w:eastAsia="仿宋_GB2312"/>
          <w:sz w:val="28"/>
          <w:szCs w:val="28"/>
        </w:rPr>
        <w:t>141.（ ）</w:t>
      </w:r>
      <w:r>
        <w:rPr>
          <w:rFonts w:hint="eastAsia" w:ascii="仿宋" w:hAnsi="仿宋" w:eastAsia="仿宋"/>
          <w:sz w:val="28"/>
          <w:szCs w:val="28"/>
        </w:rPr>
        <w:t>异地引种的接穗必须做好贮运工作，如果蜡封接穗，可直接运输，不必经特殊包装</w:t>
      </w:r>
      <w:r>
        <w:rPr>
          <w:rFonts w:hint="eastAsia" w:ascii="仿宋_GB2312" w:eastAsia="仿宋_GB2312"/>
          <w:sz w:val="28"/>
          <w:szCs w:val="28"/>
        </w:rPr>
        <w:t xml:space="preserve">。 </w:t>
      </w:r>
    </w:p>
    <w:p w14:paraId="548D3228">
      <w:pPr>
        <w:rPr>
          <w:rFonts w:ascii="仿宋_GB2312" w:eastAsia="仿宋_GB2312"/>
          <w:sz w:val="28"/>
          <w:szCs w:val="28"/>
        </w:rPr>
      </w:pPr>
      <w:r>
        <w:rPr>
          <w:rFonts w:hint="eastAsia" w:ascii="仿宋_GB2312" w:eastAsia="仿宋_GB2312"/>
          <w:sz w:val="28"/>
          <w:szCs w:val="28"/>
        </w:rPr>
        <w:t>142.（ ）</w:t>
      </w:r>
      <w:r>
        <w:rPr>
          <w:rFonts w:hint="eastAsia" w:ascii="仿宋" w:hAnsi="仿宋" w:eastAsia="仿宋"/>
          <w:sz w:val="28"/>
          <w:szCs w:val="28"/>
        </w:rPr>
        <w:t>葡萄硬枝嫁接时，因其愈伤组织的形成需氧较多，接口宜稀疏的加以绑缚，不需涂蜡</w:t>
      </w:r>
      <w:r>
        <w:rPr>
          <w:rFonts w:hint="eastAsia" w:ascii="仿宋_GB2312" w:eastAsia="仿宋_GB2312"/>
          <w:sz w:val="28"/>
          <w:szCs w:val="28"/>
        </w:rPr>
        <w:t xml:space="preserve">。  </w:t>
      </w:r>
    </w:p>
    <w:p w14:paraId="1DA4CB1B">
      <w:pPr>
        <w:rPr>
          <w:rFonts w:ascii="仿宋_GB2312" w:eastAsia="仿宋_GB2312"/>
          <w:sz w:val="28"/>
          <w:szCs w:val="28"/>
        </w:rPr>
      </w:pPr>
      <w:r>
        <w:rPr>
          <w:rFonts w:hint="eastAsia" w:ascii="仿宋_GB2312" w:eastAsia="仿宋_GB2312"/>
          <w:sz w:val="28"/>
          <w:szCs w:val="28"/>
        </w:rPr>
        <w:t xml:space="preserve">143.（ ）12月至次年6月为黄花菜大棚管理期，此期间需严格控制大棚内温湿度，最高温度不超过 35℃，最低温度不低于20℃。   </w:t>
      </w:r>
    </w:p>
    <w:p w14:paraId="5FF96350">
      <w:pPr>
        <w:rPr>
          <w:rFonts w:ascii="仿宋_GB2312" w:eastAsia="仿宋_GB2312"/>
          <w:sz w:val="28"/>
          <w:szCs w:val="28"/>
        </w:rPr>
      </w:pPr>
      <w:r>
        <w:rPr>
          <w:rFonts w:hint="eastAsia" w:ascii="仿宋_GB2312" w:eastAsia="仿宋_GB2312"/>
          <w:sz w:val="28"/>
          <w:szCs w:val="28"/>
        </w:rPr>
        <w:t xml:space="preserve">144.（ ）观赏南瓜的授粉一般在傍晚进行。   </w:t>
      </w:r>
    </w:p>
    <w:p w14:paraId="55D86132">
      <w:pPr>
        <w:rPr>
          <w:rFonts w:ascii="仿宋_GB2312" w:eastAsia="仿宋_GB2312"/>
          <w:sz w:val="28"/>
          <w:szCs w:val="28"/>
        </w:rPr>
      </w:pPr>
      <w:r>
        <w:rPr>
          <w:rFonts w:hint="eastAsia" w:ascii="仿宋_GB2312" w:eastAsia="仿宋_GB2312"/>
          <w:sz w:val="28"/>
          <w:szCs w:val="28"/>
        </w:rPr>
        <w:t>145.（ ）</w:t>
      </w:r>
      <w:r>
        <w:rPr>
          <w:rFonts w:hint="eastAsia" w:ascii="仿宋" w:hAnsi="仿宋" w:eastAsia="仿宋"/>
          <w:sz w:val="28"/>
          <w:szCs w:val="28"/>
        </w:rPr>
        <w:t>利用植物组织培养技术，能够在短时间内大批量地培育出植物新个体</w:t>
      </w:r>
      <w:r>
        <w:rPr>
          <w:rFonts w:hint="eastAsia" w:ascii="仿宋_GB2312" w:eastAsia="仿宋_GB2312"/>
          <w:sz w:val="28"/>
          <w:szCs w:val="28"/>
        </w:rPr>
        <w:t xml:space="preserve">。 </w:t>
      </w:r>
    </w:p>
    <w:p w14:paraId="1F2281FB">
      <w:pPr>
        <w:rPr>
          <w:rFonts w:ascii="仿宋_GB2312" w:eastAsia="仿宋_GB2312"/>
          <w:sz w:val="28"/>
          <w:szCs w:val="28"/>
        </w:rPr>
      </w:pPr>
      <w:r>
        <w:rPr>
          <w:rFonts w:hint="eastAsia" w:ascii="仿宋_GB2312" w:eastAsia="仿宋_GB2312"/>
          <w:sz w:val="28"/>
          <w:szCs w:val="28"/>
        </w:rPr>
        <w:t xml:space="preserve">146.（ ）蒜黄生长期短，一茬收两次只需30d，是蔬菜淡季供应的大棚蔬菜。 </w:t>
      </w:r>
    </w:p>
    <w:p w14:paraId="46D21CD5">
      <w:pPr>
        <w:rPr>
          <w:rFonts w:ascii="仿宋_GB2312" w:eastAsia="仿宋_GB2312"/>
          <w:sz w:val="28"/>
          <w:szCs w:val="28"/>
        </w:rPr>
      </w:pPr>
      <w:r>
        <w:rPr>
          <w:rFonts w:hint="eastAsia" w:ascii="仿宋_GB2312" w:eastAsia="仿宋_GB2312"/>
          <w:sz w:val="28"/>
          <w:szCs w:val="28"/>
        </w:rPr>
        <w:t>147.（ ）</w:t>
      </w:r>
      <w:r>
        <w:rPr>
          <w:rFonts w:hint="eastAsia" w:ascii="仿宋" w:hAnsi="仿宋" w:eastAsia="仿宋"/>
          <w:sz w:val="28"/>
          <w:szCs w:val="28"/>
        </w:rPr>
        <w:t>利用分根、扦插、嫁接、压条等方法繁殖花卉或果树，最主要优点是能保留亲代的优良性状</w:t>
      </w:r>
      <w:r>
        <w:rPr>
          <w:rFonts w:hint="eastAsia" w:ascii="仿宋_GB2312" w:eastAsia="仿宋_GB2312"/>
          <w:sz w:val="28"/>
          <w:szCs w:val="28"/>
        </w:rPr>
        <w:t xml:space="preserve">。   </w:t>
      </w:r>
    </w:p>
    <w:p w14:paraId="368CFD3B">
      <w:pPr>
        <w:rPr>
          <w:rFonts w:ascii="仿宋_GB2312" w:eastAsia="仿宋_GB2312"/>
          <w:sz w:val="28"/>
          <w:szCs w:val="28"/>
        </w:rPr>
      </w:pPr>
      <w:r>
        <w:rPr>
          <w:rFonts w:hint="eastAsia" w:ascii="仿宋_GB2312" w:eastAsia="仿宋_GB2312"/>
          <w:sz w:val="28"/>
          <w:szCs w:val="28"/>
        </w:rPr>
        <w:t xml:space="preserve">148.（ ）早春花椰菜定植后不需要闭棚，可以直接开棚放风。    </w:t>
      </w:r>
    </w:p>
    <w:p w14:paraId="0ED4EE82">
      <w:pPr>
        <w:rPr>
          <w:rFonts w:ascii="仿宋_GB2312" w:eastAsia="仿宋_GB2312"/>
          <w:sz w:val="28"/>
          <w:szCs w:val="28"/>
        </w:rPr>
      </w:pPr>
      <w:r>
        <w:rPr>
          <w:rFonts w:hint="eastAsia" w:ascii="仿宋_GB2312" w:eastAsia="仿宋_GB2312"/>
          <w:sz w:val="28"/>
          <w:szCs w:val="28"/>
        </w:rPr>
        <w:t>149.（ ）</w:t>
      </w:r>
      <w:r>
        <w:rPr>
          <w:rFonts w:hint="eastAsia" w:ascii="仿宋" w:hAnsi="仿宋" w:eastAsia="仿宋"/>
          <w:sz w:val="28"/>
          <w:szCs w:val="28"/>
        </w:rPr>
        <w:t>有些果树如柿树、核桃、柑橘、桃等富含单宁，切面易形成单宁氧化隔离层， 阻碍愈合</w:t>
      </w:r>
      <w:r>
        <w:rPr>
          <w:rFonts w:hint="eastAsia" w:ascii="仿宋_GB2312" w:eastAsia="仿宋_GB2312"/>
          <w:sz w:val="28"/>
          <w:szCs w:val="28"/>
        </w:rPr>
        <w:t>。</w:t>
      </w:r>
    </w:p>
    <w:p w14:paraId="79EA011F">
      <w:pPr>
        <w:rPr>
          <w:rFonts w:ascii="仿宋_GB2312" w:eastAsia="仿宋_GB2312"/>
          <w:sz w:val="28"/>
          <w:szCs w:val="28"/>
        </w:rPr>
      </w:pPr>
      <w:r>
        <w:rPr>
          <w:rFonts w:hint="eastAsia" w:ascii="仿宋_GB2312" w:eastAsia="仿宋_GB2312"/>
          <w:sz w:val="28"/>
          <w:szCs w:val="28"/>
        </w:rPr>
        <w:t>150.（ ）茄子，为茄科，茄属植物。起源于东南亚热带地区，古印度为最早的驯化地，一般认为中国是茄子的第二起源中心。</w:t>
      </w:r>
    </w:p>
    <w:p w14:paraId="76A3538C">
      <w:pPr>
        <w:rPr>
          <w:rFonts w:ascii="仿宋_GB2312" w:eastAsia="仿宋_GB2312"/>
          <w:sz w:val="28"/>
          <w:szCs w:val="28"/>
        </w:rPr>
      </w:pPr>
      <w:r>
        <w:rPr>
          <w:rFonts w:hint="eastAsia" w:ascii="仿宋_GB2312" w:eastAsia="仿宋_GB2312"/>
          <w:sz w:val="28"/>
          <w:szCs w:val="28"/>
        </w:rPr>
        <w:t xml:space="preserve">151.（ ）菜豆根系木栓化程度高，根的再生能力差，育苗时必须用营养钵育苗。 </w:t>
      </w:r>
    </w:p>
    <w:p w14:paraId="4FA0590D">
      <w:pPr>
        <w:rPr>
          <w:rFonts w:ascii="仿宋_GB2312" w:eastAsia="仿宋_GB2312"/>
          <w:sz w:val="28"/>
          <w:szCs w:val="28"/>
        </w:rPr>
      </w:pPr>
      <w:r>
        <w:rPr>
          <w:rFonts w:hint="eastAsia" w:ascii="仿宋_GB2312" w:eastAsia="仿宋_GB2312"/>
          <w:sz w:val="28"/>
          <w:szCs w:val="28"/>
        </w:rPr>
        <w:t>152.（ ）</w:t>
      </w:r>
      <w:r>
        <w:rPr>
          <w:rFonts w:hint="eastAsia" w:ascii="仿宋" w:hAnsi="仿宋" w:eastAsia="仿宋"/>
          <w:sz w:val="28"/>
          <w:szCs w:val="28"/>
        </w:rPr>
        <w:t>青蒿作砧木嫁接菊花具有成活率高、且不易倒伏的特点，可培育成五颜六色的艺菊</w:t>
      </w:r>
      <w:r>
        <w:rPr>
          <w:rFonts w:hint="eastAsia" w:ascii="仿宋_GB2312" w:eastAsia="仿宋_GB2312"/>
          <w:sz w:val="28"/>
          <w:szCs w:val="28"/>
        </w:rPr>
        <w:t xml:space="preserve">。 </w:t>
      </w:r>
    </w:p>
    <w:p w14:paraId="022DA164">
      <w:pPr>
        <w:rPr>
          <w:rFonts w:ascii="仿宋_GB2312" w:eastAsia="仿宋_GB2312"/>
          <w:sz w:val="28"/>
          <w:szCs w:val="28"/>
        </w:rPr>
      </w:pPr>
      <w:r>
        <w:rPr>
          <w:rFonts w:hint="eastAsia" w:ascii="仿宋_GB2312" w:eastAsia="仿宋_GB2312"/>
          <w:sz w:val="28"/>
          <w:szCs w:val="28"/>
        </w:rPr>
        <w:t xml:space="preserve">153.（ ）羽衣甘蓝在产品形成期间，要求较强的光照。   </w:t>
      </w:r>
    </w:p>
    <w:p w14:paraId="012CCCD0">
      <w:pPr>
        <w:rPr>
          <w:rFonts w:ascii="仿宋_GB2312" w:eastAsia="仿宋_GB2312"/>
          <w:sz w:val="28"/>
          <w:szCs w:val="28"/>
        </w:rPr>
      </w:pPr>
      <w:r>
        <w:rPr>
          <w:rFonts w:hint="eastAsia" w:ascii="仿宋_GB2312" w:eastAsia="仿宋_GB2312"/>
          <w:sz w:val="28"/>
          <w:szCs w:val="28"/>
        </w:rPr>
        <w:t>154.（ ）</w:t>
      </w:r>
      <w:r>
        <w:rPr>
          <w:rFonts w:hint="eastAsia" w:ascii="仿宋" w:hAnsi="仿宋" w:eastAsia="仿宋"/>
          <w:sz w:val="28"/>
          <w:szCs w:val="28"/>
        </w:rPr>
        <w:t>当前果树的矮化栽培技术，主要是将栽培品种嫁接到乔化砧木上</w:t>
      </w:r>
      <w:r>
        <w:rPr>
          <w:rFonts w:hint="eastAsia" w:ascii="仿宋_GB2312" w:eastAsia="仿宋_GB2312"/>
          <w:sz w:val="28"/>
          <w:szCs w:val="28"/>
        </w:rPr>
        <w:t xml:space="preserve">。  </w:t>
      </w:r>
    </w:p>
    <w:p w14:paraId="28C97910">
      <w:pPr>
        <w:rPr>
          <w:rFonts w:ascii="仿宋_GB2312" w:eastAsia="仿宋_GB2312"/>
          <w:sz w:val="28"/>
          <w:szCs w:val="28"/>
        </w:rPr>
      </w:pPr>
      <w:r>
        <w:rPr>
          <w:rFonts w:hint="eastAsia" w:ascii="仿宋_GB2312" w:eastAsia="仿宋_GB2312"/>
          <w:sz w:val="28"/>
          <w:szCs w:val="28"/>
        </w:rPr>
        <w:t>155.（ ）</w:t>
      </w:r>
      <w:r>
        <w:rPr>
          <w:rFonts w:hint="eastAsia" w:ascii="仿宋" w:hAnsi="仿宋" w:eastAsia="仿宋"/>
          <w:sz w:val="28"/>
          <w:szCs w:val="28"/>
        </w:rPr>
        <w:t>嫁接即人们有目的地将一株植物上的枝条或芽，接到另一株植物的枝、干或要根上，使之愈合生长在一起，形成一个新植株</w:t>
      </w:r>
      <w:r>
        <w:rPr>
          <w:rFonts w:hint="eastAsia" w:ascii="仿宋_GB2312" w:eastAsia="仿宋_GB2312"/>
          <w:sz w:val="28"/>
          <w:szCs w:val="28"/>
        </w:rPr>
        <w:t xml:space="preserve">。 </w:t>
      </w:r>
    </w:p>
    <w:p w14:paraId="04E3F16D">
      <w:pPr>
        <w:rPr>
          <w:rFonts w:ascii="仿宋_GB2312" w:eastAsia="仿宋_GB2312"/>
          <w:sz w:val="28"/>
          <w:szCs w:val="28"/>
        </w:rPr>
      </w:pPr>
      <w:r>
        <w:rPr>
          <w:rFonts w:hint="eastAsia" w:ascii="仿宋_GB2312" w:eastAsia="仿宋_GB2312"/>
          <w:sz w:val="28"/>
          <w:szCs w:val="28"/>
        </w:rPr>
        <w:t>156.（ ）</w:t>
      </w:r>
      <w:r>
        <w:rPr>
          <w:rFonts w:hint="eastAsia" w:ascii="仿宋" w:hAnsi="仿宋" w:eastAsia="仿宋"/>
          <w:sz w:val="28"/>
          <w:szCs w:val="28"/>
        </w:rPr>
        <w:t>果木春季嫁接后15-20天，夏秋嫁接后20天以后，若芽片仍鲜绿即为成活象征，如已变黄则应及时补接或待春暖再接</w:t>
      </w:r>
      <w:r>
        <w:rPr>
          <w:rFonts w:hint="eastAsia" w:ascii="仿宋_GB2312" w:eastAsia="仿宋_GB2312"/>
          <w:sz w:val="28"/>
          <w:szCs w:val="28"/>
        </w:rPr>
        <w:t xml:space="preserve">。  </w:t>
      </w:r>
    </w:p>
    <w:p w14:paraId="7EAC9E58">
      <w:pPr>
        <w:rPr>
          <w:rFonts w:ascii="仿宋_GB2312" w:eastAsia="仿宋_GB2312"/>
          <w:sz w:val="28"/>
          <w:szCs w:val="28"/>
        </w:rPr>
      </w:pPr>
      <w:r>
        <w:rPr>
          <w:rFonts w:hint="eastAsia" w:ascii="仿宋_GB2312" w:eastAsia="仿宋_GB2312"/>
          <w:sz w:val="28"/>
          <w:szCs w:val="28"/>
        </w:rPr>
        <w:t xml:space="preserve">157.（ ）蒜种的浸泡一般浸至蒜皮手摸有柔软感即可。  </w:t>
      </w:r>
    </w:p>
    <w:p w14:paraId="20DFAEEE">
      <w:pPr>
        <w:rPr>
          <w:rFonts w:ascii="仿宋_GB2312" w:eastAsia="仿宋_GB2312"/>
          <w:sz w:val="28"/>
          <w:szCs w:val="28"/>
        </w:rPr>
      </w:pPr>
      <w:r>
        <w:rPr>
          <w:rFonts w:hint="eastAsia" w:ascii="仿宋_GB2312" w:eastAsia="仿宋_GB2312"/>
          <w:sz w:val="28"/>
          <w:szCs w:val="28"/>
        </w:rPr>
        <w:t xml:space="preserve">158.（ ）设施蔬菜栽培季节确定的基本原则是将蔬菜的整个生长期安排在它们能适应的温度季节里，且将产品器官的生长期安排在温度最适宜的季节里，以保证产品的高产、优质。 </w:t>
      </w:r>
    </w:p>
    <w:p w14:paraId="1CDC4753">
      <w:pPr>
        <w:rPr>
          <w:rFonts w:ascii="仿宋_GB2312" w:eastAsia="仿宋_GB2312"/>
          <w:sz w:val="28"/>
          <w:szCs w:val="28"/>
        </w:rPr>
      </w:pPr>
      <w:r>
        <w:rPr>
          <w:rFonts w:hint="eastAsia" w:ascii="仿宋_GB2312" w:eastAsia="仿宋_GB2312"/>
          <w:sz w:val="28"/>
          <w:szCs w:val="28"/>
        </w:rPr>
        <w:t xml:space="preserve">159.（ ）甘蓝具有耐寒、抗病、适应性强、易贮耐运、产量高、品质好等特点。 </w:t>
      </w:r>
    </w:p>
    <w:p w14:paraId="413FA831">
      <w:pPr>
        <w:rPr>
          <w:rFonts w:hint="eastAsia" w:ascii="仿宋_GB2312" w:eastAsia="仿宋_GB2312"/>
          <w:sz w:val="28"/>
          <w:szCs w:val="28"/>
        </w:rPr>
      </w:pPr>
      <w:r>
        <w:rPr>
          <w:rFonts w:hint="eastAsia" w:ascii="仿宋_GB2312" w:eastAsia="仿宋_GB2312"/>
          <w:sz w:val="28"/>
          <w:szCs w:val="28"/>
        </w:rPr>
        <w:t>160.（ ）</w:t>
      </w:r>
      <w:r>
        <w:rPr>
          <w:rFonts w:hint="eastAsia" w:ascii="仿宋" w:hAnsi="仿宋" w:eastAsia="仿宋"/>
          <w:sz w:val="28"/>
          <w:szCs w:val="28"/>
        </w:rPr>
        <w:t>在果树嫁接技术上要求做到“三快”即刀磨得快、动作快、接穗插入快</w:t>
      </w:r>
      <w:r>
        <w:rPr>
          <w:rFonts w:hint="eastAsia" w:ascii="仿宋_GB2312" w:eastAsia="仿宋_GB2312"/>
          <w:sz w:val="28"/>
          <w:szCs w:val="28"/>
        </w:rPr>
        <w:t>。</w:t>
      </w:r>
    </w:p>
    <w:p w14:paraId="0B35FB10">
      <w:pPr>
        <w:spacing w:after="188"/>
        <w:jc w:val="center"/>
        <w:rPr>
          <w:rFonts w:ascii="方正小标宋简体" w:eastAsia="方正小标宋简体"/>
          <w:sz w:val="36"/>
        </w:rPr>
      </w:pPr>
      <w:r>
        <w:rPr>
          <w:rFonts w:hint="eastAsia" w:ascii="方正小标宋简体" w:eastAsia="方正小标宋简体"/>
          <w:sz w:val="36"/>
          <w:lang w:val="en-US" w:eastAsia="zh-CN"/>
        </w:rPr>
        <w:t>2025</w:t>
      </w:r>
      <w:r>
        <w:rPr>
          <w:rFonts w:hint="eastAsia" w:ascii="方正小标宋简体" w:eastAsia="方正小标宋简体"/>
          <w:sz w:val="36"/>
          <w:lang w:val="en-US" w:eastAsia="zh-CN"/>
        </w:rPr>
        <w:t>年河北省</w:t>
      </w:r>
      <w:r>
        <w:rPr>
          <w:rFonts w:hint="eastAsia" w:ascii="方正小标宋简体" w:eastAsia="方正小标宋简体"/>
          <w:sz w:val="36"/>
        </w:rPr>
        <w:t>职业院校技能大赛植物嫁接赛项</w:t>
      </w:r>
    </w:p>
    <w:p w14:paraId="6932DDB3">
      <w:pPr>
        <w:spacing w:after="188"/>
        <w:jc w:val="center"/>
        <w:rPr>
          <w:rFonts w:ascii="方正小标宋简体" w:eastAsia="方正小标宋简体"/>
          <w:sz w:val="36"/>
        </w:rPr>
      </w:pPr>
      <w:r>
        <w:rPr>
          <w:rFonts w:hint="eastAsia" w:ascii="方正小标宋简体" w:eastAsia="方正小标宋简体"/>
          <w:sz w:val="36"/>
        </w:rPr>
        <w:t>营养液配制操作试题（</w:t>
      </w:r>
      <w:r>
        <w:rPr>
          <w:rFonts w:hint="eastAsia" w:ascii="方正小标宋简体" w:eastAsia="方正小标宋简体"/>
          <w:sz w:val="36"/>
        </w:rPr>
        <w:fldChar w:fldCharType="begin"/>
      </w:r>
      <w:r>
        <w:rPr>
          <w:rFonts w:hint="eastAsia" w:ascii="方正小标宋简体" w:eastAsia="方正小标宋简体"/>
          <w:sz w:val="36"/>
        </w:rPr>
        <w:instrText xml:space="preserve"> PAGE   \* MERGEFORMAT </w:instrText>
      </w:r>
      <w:r>
        <w:rPr>
          <w:rFonts w:hint="eastAsia" w:ascii="方正小标宋简体" w:eastAsia="方正小标宋简体"/>
          <w:sz w:val="36"/>
        </w:rPr>
        <w:fldChar w:fldCharType="separate"/>
      </w:r>
      <w:r>
        <w:rPr>
          <w:rFonts w:hint="eastAsia" w:ascii="方正小标宋简体" w:eastAsia="方正小标宋简体"/>
          <w:sz w:val="36"/>
        </w:rPr>
        <w:t>一</w:t>
      </w:r>
      <w:r>
        <w:rPr>
          <w:rFonts w:hint="eastAsia" w:ascii="方正小标宋简体" w:eastAsia="方正小标宋简体"/>
          <w:sz w:val="36"/>
        </w:rPr>
        <w:fldChar w:fldCharType="end"/>
      </w:r>
      <w:r>
        <w:rPr>
          <w:rFonts w:hint="eastAsia" w:ascii="方正小标宋简体" w:eastAsia="方正小标宋简体"/>
          <w:sz w:val="36"/>
        </w:rPr>
        <w:t>）</w:t>
      </w:r>
    </w:p>
    <w:p w14:paraId="38E904A0">
      <w:pPr>
        <w:spacing w:after="203"/>
        <w:ind w:left="1422"/>
        <w:jc w:val="center"/>
      </w:pPr>
    </w:p>
    <w:p w14:paraId="48B3CA71">
      <w:pPr>
        <w:spacing w:before="312" w:beforeLines="100" w:after="312" w:afterLines="100"/>
        <w:ind w:left="-6" w:hanging="11"/>
        <w:rPr>
          <w:rFonts w:ascii="仿宋_GB2312" w:eastAsia="仿宋_GB2312"/>
          <w:b/>
          <w:sz w:val="30"/>
        </w:rPr>
      </w:pPr>
      <w:r>
        <w:rPr>
          <w:rFonts w:hint="eastAsia" w:ascii="仿宋_GB2312" w:eastAsia="仿宋_GB2312"/>
          <w:b/>
          <w:sz w:val="30"/>
        </w:rPr>
        <w:t>工位号：                    分数：</w:t>
      </w:r>
    </w:p>
    <w:p w14:paraId="6A026FC5">
      <w:pPr>
        <w:spacing w:before="312" w:beforeLines="100" w:after="312" w:afterLines="100"/>
        <w:ind w:left="-17"/>
        <w:rPr>
          <w:rFonts w:ascii="仿宋_GB2312" w:eastAsia="仿宋_GB2312"/>
          <w:b/>
          <w:sz w:val="30"/>
        </w:rPr>
      </w:pPr>
      <w:r>
        <w:rPr>
          <w:rFonts w:hint="eastAsia" w:ascii="仿宋_GB2312" w:eastAsia="仿宋_GB2312"/>
          <w:b/>
          <w:sz w:val="30"/>
        </w:rPr>
        <w:t xml:space="preserve">一、母液配制 </w:t>
      </w:r>
    </w:p>
    <w:tbl>
      <w:tblPr>
        <w:tblStyle w:val="11"/>
        <w:tblW w:w="8558" w:type="dxa"/>
        <w:tblInd w:w="-122" w:type="dxa"/>
        <w:tblLayout w:type="autofit"/>
        <w:tblCellMar>
          <w:top w:w="0" w:type="dxa"/>
          <w:left w:w="113" w:type="dxa"/>
          <w:bottom w:w="8" w:type="dxa"/>
          <w:right w:w="55" w:type="dxa"/>
        </w:tblCellMar>
      </w:tblPr>
      <w:tblGrid>
        <w:gridCol w:w="900"/>
        <w:gridCol w:w="1841"/>
        <w:gridCol w:w="1702"/>
        <w:gridCol w:w="708"/>
        <w:gridCol w:w="994"/>
        <w:gridCol w:w="1133"/>
        <w:gridCol w:w="1280"/>
      </w:tblGrid>
      <w:tr w14:paraId="4CE6A1B7">
        <w:tblPrEx>
          <w:tblCellMar>
            <w:top w:w="0" w:type="dxa"/>
            <w:left w:w="113" w:type="dxa"/>
            <w:bottom w:w="8" w:type="dxa"/>
            <w:right w:w="55" w:type="dxa"/>
          </w:tblCellMar>
        </w:tblPrEx>
        <w:trPr>
          <w:trHeight w:val="812"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48903552">
            <w:pPr>
              <w:ind w:left="127"/>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72C7FD95">
            <w:pPr>
              <w:ind w:right="56"/>
              <w:jc w:val="center"/>
              <w:rPr>
                <w:rFonts w:ascii="仿宋_GB2312" w:eastAsia="仿宋_GB2312"/>
                <w:sz w:val="24"/>
                <w:szCs w:val="24"/>
              </w:rPr>
            </w:pPr>
            <w:r>
              <w:rPr>
                <w:rFonts w:hint="eastAsia" w:ascii="仿宋_GB2312" w:eastAsia="仿宋_GB2312"/>
                <w:sz w:val="24"/>
                <w:szCs w:val="24"/>
              </w:rPr>
              <w:t>成份</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0D79F779">
            <w:pPr>
              <w:ind w:left="36"/>
              <w:jc w:val="center"/>
              <w:rPr>
                <w:rFonts w:ascii="仿宋_GB2312" w:eastAsia="仿宋_GB2312"/>
                <w:sz w:val="24"/>
                <w:szCs w:val="24"/>
              </w:rPr>
            </w:pPr>
            <w:r>
              <w:rPr>
                <w:rFonts w:hint="eastAsia" w:ascii="仿宋_GB2312" w:eastAsia="仿宋_GB2312"/>
                <w:sz w:val="24"/>
                <w:szCs w:val="24"/>
              </w:rPr>
              <w:t>标准用量</w:t>
            </w:r>
            <w:r>
              <w:rPr>
                <w:rFonts w:hint="eastAsia" w:ascii="仿宋_GB2312" w:hAnsi="Calibri" w:eastAsia="仿宋_GB2312" w:cs="Calibri"/>
                <w:sz w:val="24"/>
                <w:szCs w:val="24"/>
              </w:rPr>
              <w:t>(mg/L)</w:t>
            </w:r>
          </w:p>
        </w:tc>
        <w:tc>
          <w:tcPr>
            <w:tcW w:w="708" w:type="dxa"/>
            <w:tcBorders>
              <w:top w:val="single" w:color="000000" w:sz="4" w:space="0"/>
              <w:left w:val="single" w:color="000000" w:sz="4" w:space="0"/>
              <w:bottom w:val="single" w:color="000000" w:sz="4" w:space="0"/>
              <w:right w:val="single" w:color="000000" w:sz="4" w:space="0"/>
            </w:tcBorders>
            <w:vAlign w:val="center"/>
          </w:tcPr>
          <w:p w14:paraId="48FF2690">
            <w:pPr>
              <w:jc w:val="center"/>
              <w:rPr>
                <w:rFonts w:ascii="仿宋_GB2312" w:eastAsia="仿宋_GB2312"/>
                <w:sz w:val="24"/>
                <w:szCs w:val="24"/>
              </w:rPr>
            </w:pPr>
            <w:r>
              <w:rPr>
                <w:rFonts w:hint="eastAsia" w:ascii="仿宋_GB2312" w:eastAsia="仿宋_GB2312"/>
                <w:sz w:val="24"/>
                <w:szCs w:val="24"/>
              </w:rPr>
              <w:t>浓缩倍数</w:t>
            </w:r>
            <w:r>
              <w:rPr>
                <w:rFonts w:hint="eastAsia" w:ascii="仿宋_GB2312" w:hAnsi="Calibri" w:eastAsia="仿宋_GB2312" w:cs="Calibri"/>
                <w:sz w:val="24"/>
                <w:szCs w:val="24"/>
              </w:rPr>
              <w:t xml:space="preserve"> </w:t>
            </w:r>
          </w:p>
        </w:tc>
        <w:tc>
          <w:tcPr>
            <w:tcW w:w="994" w:type="dxa"/>
            <w:tcBorders>
              <w:top w:val="single" w:color="000000" w:sz="4" w:space="0"/>
              <w:left w:val="single" w:color="000000" w:sz="4" w:space="0"/>
              <w:bottom w:val="single" w:color="000000" w:sz="4" w:space="0"/>
              <w:right w:val="single" w:color="000000" w:sz="4" w:space="0"/>
            </w:tcBorders>
          </w:tcPr>
          <w:p w14:paraId="47637A20">
            <w:pPr>
              <w:spacing w:line="255" w:lineRule="auto"/>
              <w:jc w:val="center"/>
              <w:rPr>
                <w:rFonts w:ascii="仿宋_GB2312" w:eastAsia="仿宋_GB2312"/>
                <w:sz w:val="24"/>
                <w:szCs w:val="24"/>
              </w:rPr>
            </w:pPr>
            <w:r>
              <w:rPr>
                <w:rFonts w:hint="eastAsia" w:ascii="仿宋_GB2312" w:eastAsia="仿宋_GB2312"/>
                <w:sz w:val="24"/>
                <w:szCs w:val="24"/>
              </w:rPr>
              <w:t>配制母液体积</w:t>
            </w:r>
          </w:p>
          <w:p w14:paraId="5A244E4F">
            <w:pPr>
              <w:ind w:right="58"/>
              <w:jc w:val="center"/>
              <w:rPr>
                <w:rFonts w:ascii="仿宋_GB2312" w:eastAsia="仿宋_GB2312"/>
                <w:sz w:val="24"/>
                <w:szCs w:val="24"/>
              </w:rPr>
            </w:pPr>
            <w:r>
              <w:rPr>
                <w:rFonts w:hint="eastAsia" w:ascii="仿宋_GB2312" w:hAnsi="Calibri" w:eastAsia="仿宋_GB2312" w:cs="Calibri"/>
                <w:sz w:val="24"/>
                <w:szCs w:val="24"/>
              </w:rPr>
              <w:t xml:space="preserve">(ml) </w:t>
            </w:r>
          </w:p>
        </w:tc>
        <w:tc>
          <w:tcPr>
            <w:tcW w:w="1133" w:type="dxa"/>
            <w:tcBorders>
              <w:top w:val="single" w:color="000000" w:sz="4" w:space="0"/>
              <w:left w:val="single" w:color="000000" w:sz="4" w:space="0"/>
              <w:bottom w:val="single" w:color="000000" w:sz="4" w:space="0"/>
              <w:right w:val="single" w:color="000000" w:sz="4" w:space="0"/>
            </w:tcBorders>
            <w:vAlign w:val="center"/>
          </w:tcPr>
          <w:p w14:paraId="6C11C839">
            <w:pPr>
              <w:jc w:val="center"/>
              <w:rPr>
                <w:rFonts w:ascii="仿宋_GB2312" w:eastAsia="仿宋_GB2312"/>
                <w:sz w:val="24"/>
                <w:szCs w:val="24"/>
              </w:rPr>
            </w:pPr>
            <w:r>
              <w:rPr>
                <w:rFonts w:hint="eastAsia" w:ascii="仿宋_GB2312" w:eastAsia="仿宋_GB2312"/>
                <w:sz w:val="24"/>
                <w:szCs w:val="24"/>
              </w:rPr>
              <w:t>理论计算值</w:t>
            </w:r>
            <w:r>
              <w:rPr>
                <w:rFonts w:hint="eastAsia" w:ascii="仿宋_GB2312" w:hAnsi="Calibri" w:eastAsia="仿宋_GB2312" w:cs="Calibri"/>
                <w:sz w:val="24"/>
                <w:szCs w:val="24"/>
              </w:rPr>
              <w:t xml:space="preserve">(g) </w:t>
            </w:r>
          </w:p>
        </w:tc>
        <w:tc>
          <w:tcPr>
            <w:tcW w:w="1280" w:type="dxa"/>
            <w:tcBorders>
              <w:top w:val="single" w:color="000000" w:sz="4" w:space="0"/>
              <w:left w:val="single" w:color="000000" w:sz="4" w:space="0"/>
              <w:bottom w:val="single" w:color="000000" w:sz="4" w:space="0"/>
              <w:right w:val="single" w:color="000000" w:sz="4" w:space="0"/>
            </w:tcBorders>
            <w:vAlign w:val="center"/>
          </w:tcPr>
          <w:p w14:paraId="63111385">
            <w:pPr>
              <w:rPr>
                <w:rFonts w:ascii="仿宋_GB2312" w:eastAsia="仿宋_GB2312"/>
                <w:sz w:val="24"/>
                <w:szCs w:val="24"/>
              </w:rPr>
            </w:pPr>
            <w:r>
              <w:rPr>
                <w:rFonts w:hint="eastAsia" w:ascii="仿宋_GB2312" w:eastAsia="仿宋_GB2312"/>
                <w:sz w:val="24"/>
                <w:szCs w:val="24"/>
              </w:rPr>
              <w:t>实际称取值</w:t>
            </w:r>
            <w:r>
              <w:rPr>
                <w:rFonts w:hint="eastAsia" w:ascii="仿宋_GB2312" w:hAnsi="Calibri" w:eastAsia="仿宋_GB2312" w:cs="Calibri"/>
                <w:sz w:val="24"/>
                <w:szCs w:val="24"/>
              </w:rPr>
              <w:t xml:space="preserve">(g) </w:t>
            </w:r>
          </w:p>
        </w:tc>
      </w:tr>
      <w:tr w14:paraId="34EB679A">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46288742">
            <w:pPr>
              <w:ind w:right="58"/>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41B48C06">
            <w:pPr>
              <w:ind w:right="55"/>
              <w:jc w:val="center"/>
              <w:rPr>
                <w:rFonts w:ascii="仿宋_GB2312" w:eastAsia="仿宋_GB2312"/>
                <w:sz w:val="24"/>
                <w:szCs w:val="24"/>
              </w:rPr>
            </w:pPr>
            <w:r>
              <w:rPr>
                <w:rFonts w:hint="eastAsia" w:ascii="仿宋_GB2312" w:hAnsi="Calibri" w:eastAsia="仿宋_GB2312" w:cs="Calibri"/>
                <w:sz w:val="24"/>
                <w:szCs w:val="24"/>
              </w:rPr>
              <w:t>Ca(NO</w:t>
            </w:r>
            <w:r>
              <w:rPr>
                <w:rFonts w:hint="eastAsia" w:ascii="仿宋_GB2312" w:hAnsi="Calibri" w:eastAsia="仿宋_GB2312" w:cs="Calibri"/>
                <w:sz w:val="24"/>
                <w:szCs w:val="24"/>
                <w:vertAlign w:val="subscript"/>
              </w:rPr>
              <w:t>3</w:t>
            </w:r>
            <w:r>
              <w:rPr>
                <w:rFonts w:hint="eastAsia" w:ascii="仿宋_GB2312" w:hAnsi="Calibri" w:eastAsia="仿宋_GB2312" w:cs="Calibri"/>
                <w:sz w:val="24"/>
                <w:szCs w:val="24"/>
              </w:rPr>
              <w:t>)</w:t>
            </w:r>
            <w:r>
              <w:rPr>
                <w:rFonts w:hint="eastAsia" w:ascii="仿宋_GB2312" w:hAnsi="Calibri" w:eastAsia="仿宋_GB2312" w:cs="Calibri"/>
                <w:sz w:val="24"/>
                <w:szCs w:val="24"/>
                <w:vertAlign w:val="subscript"/>
              </w:rPr>
              <w:t>2</w:t>
            </w:r>
            <w:r>
              <w:rPr>
                <w:rFonts w:hint="eastAsia"/>
                <w:sz w:val="24"/>
                <w:szCs w:val="24"/>
              </w:rPr>
              <w:t>﹒</w:t>
            </w:r>
            <w:r>
              <w:rPr>
                <w:rFonts w:hint="eastAsia" w:ascii="仿宋_GB2312" w:hAnsi="Calibri" w:eastAsia="仿宋_GB2312" w:cs="Calibri"/>
                <w:sz w:val="24"/>
                <w:szCs w:val="24"/>
              </w:rPr>
              <w:t>4H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000000" w:sz="4" w:space="0"/>
              <w:left w:val="single" w:color="000000" w:sz="4" w:space="0"/>
              <w:bottom w:val="single" w:color="000000" w:sz="4" w:space="0"/>
              <w:right w:val="single" w:color="000000" w:sz="4" w:space="0"/>
            </w:tcBorders>
            <w:vAlign w:val="center"/>
          </w:tcPr>
          <w:p w14:paraId="719B2E5F">
            <w:pPr>
              <w:ind w:right="56"/>
              <w:jc w:val="center"/>
              <w:rPr>
                <w:rFonts w:ascii="仿宋_GB2312" w:eastAsia="仿宋_GB2312"/>
                <w:sz w:val="24"/>
                <w:szCs w:val="24"/>
              </w:rPr>
            </w:pPr>
            <w:r>
              <w:rPr>
                <w:rFonts w:hint="eastAsia" w:ascii="仿宋_GB2312" w:hAnsi="Calibri" w:eastAsia="仿宋_GB2312" w:cs="Calibri"/>
                <w:sz w:val="24"/>
                <w:szCs w:val="24"/>
              </w:rPr>
              <w:t>945</w:t>
            </w:r>
          </w:p>
        </w:tc>
        <w:tc>
          <w:tcPr>
            <w:tcW w:w="708" w:type="dxa"/>
            <w:tcBorders>
              <w:top w:val="single" w:color="000000" w:sz="4" w:space="0"/>
              <w:left w:val="single" w:color="000000" w:sz="4" w:space="0"/>
              <w:bottom w:val="single" w:color="000000" w:sz="4" w:space="0"/>
              <w:right w:val="single" w:color="000000" w:sz="4" w:space="0"/>
            </w:tcBorders>
            <w:vAlign w:val="center"/>
          </w:tcPr>
          <w:p w14:paraId="67383303">
            <w:pPr>
              <w:ind w:left="120"/>
              <w:rPr>
                <w:rFonts w:ascii="仿宋_GB2312" w:eastAsia="仿宋_GB2312"/>
                <w:sz w:val="24"/>
                <w:szCs w:val="24"/>
              </w:rPr>
            </w:pPr>
            <w:r>
              <w:rPr>
                <w:rFonts w:hint="eastAsia" w:ascii="仿宋_GB2312" w:hAnsi="Calibri" w:eastAsia="仿宋_GB2312" w:cs="Calibri"/>
                <w:sz w:val="24"/>
                <w:szCs w:val="24"/>
              </w:rPr>
              <w:t xml:space="preserve">35 </w:t>
            </w:r>
          </w:p>
        </w:tc>
        <w:tc>
          <w:tcPr>
            <w:tcW w:w="994" w:type="dxa"/>
            <w:tcBorders>
              <w:top w:val="single" w:color="000000" w:sz="4" w:space="0"/>
              <w:left w:val="single" w:color="000000" w:sz="4" w:space="0"/>
              <w:bottom w:val="single" w:color="000000" w:sz="4" w:space="0"/>
              <w:right w:val="single" w:color="000000" w:sz="4" w:space="0"/>
            </w:tcBorders>
            <w:vAlign w:val="center"/>
          </w:tcPr>
          <w:p w14:paraId="7069C253">
            <w:pPr>
              <w:ind w:right="62"/>
              <w:jc w:val="center"/>
              <w:rPr>
                <w:rFonts w:ascii="仿宋_GB2312" w:eastAsia="仿宋_GB2312"/>
                <w:sz w:val="24"/>
                <w:szCs w:val="24"/>
              </w:rPr>
            </w:pPr>
            <w:r>
              <w:rPr>
                <w:rFonts w:hint="eastAsia" w:ascii="仿宋_GB2312" w:hAnsi="Calibri" w:eastAsia="仿宋_GB2312" w:cs="Calibri"/>
                <w:sz w:val="24"/>
                <w:szCs w:val="24"/>
              </w:rPr>
              <w:t xml:space="preserve">500 </w:t>
            </w:r>
          </w:p>
        </w:tc>
        <w:tc>
          <w:tcPr>
            <w:tcW w:w="1133" w:type="dxa"/>
            <w:tcBorders>
              <w:top w:val="single" w:color="000000" w:sz="4" w:space="0"/>
              <w:left w:val="single" w:color="000000" w:sz="4" w:space="0"/>
              <w:bottom w:val="single" w:color="000000" w:sz="4" w:space="0"/>
              <w:right w:val="single" w:color="000000" w:sz="4" w:space="0"/>
            </w:tcBorders>
            <w:vAlign w:val="center"/>
          </w:tcPr>
          <w:p w14:paraId="345A30CC">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78AD44E5">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51FEAEA7">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auto" w:sz="4" w:space="0"/>
              <w:right w:val="single" w:color="000000" w:sz="4" w:space="0"/>
            </w:tcBorders>
            <w:vAlign w:val="center"/>
          </w:tcPr>
          <w:p w14:paraId="7BF5019B">
            <w:pPr>
              <w:ind w:right="55"/>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auto" w:sz="4" w:space="0"/>
              <w:right w:val="single" w:color="000000" w:sz="4" w:space="0"/>
            </w:tcBorders>
            <w:vAlign w:val="center"/>
          </w:tcPr>
          <w:p w14:paraId="36B9D04A">
            <w:pPr>
              <w:ind w:right="57"/>
              <w:jc w:val="center"/>
              <w:rPr>
                <w:rFonts w:ascii="仿宋_GB2312" w:eastAsia="仿宋_GB2312"/>
                <w:sz w:val="24"/>
                <w:szCs w:val="24"/>
              </w:rPr>
            </w:pPr>
            <w:r>
              <w:rPr>
                <w:rFonts w:hint="eastAsia" w:ascii="仿宋_GB2312" w:hAnsi="Calibri" w:eastAsia="仿宋_GB2312" w:cs="Calibri"/>
                <w:sz w:val="24"/>
                <w:szCs w:val="24"/>
              </w:rPr>
              <w:t>NH</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PO</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auto" w:sz="4" w:space="0"/>
              <w:right w:val="single" w:color="000000" w:sz="4" w:space="0"/>
            </w:tcBorders>
            <w:vAlign w:val="center"/>
          </w:tcPr>
          <w:p w14:paraId="1FF9ADBD">
            <w:pPr>
              <w:ind w:right="56"/>
              <w:jc w:val="center"/>
              <w:rPr>
                <w:rFonts w:ascii="仿宋_GB2312" w:eastAsia="仿宋_GB2312"/>
                <w:sz w:val="24"/>
                <w:szCs w:val="24"/>
              </w:rPr>
            </w:pPr>
            <w:r>
              <w:rPr>
                <w:rFonts w:hint="eastAsia" w:ascii="仿宋_GB2312" w:hAnsi="Calibri" w:eastAsia="仿宋_GB2312" w:cs="Calibri"/>
                <w:sz w:val="24"/>
                <w:szCs w:val="24"/>
              </w:rPr>
              <w:t>153</w:t>
            </w:r>
          </w:p>
        </w:tc>
        <w:tc>
          <w:tcPr>
            <w:tcW w:w="708" w:type="dxa"/>
            <w:tcBorders>
              <w:top w:val="single" w:color="000000" w:sz="4" w:space="0"/>
              <w:left w:val="single" w:color="000000" w:sz="4" w:space="0"/>
              <w:bottom w:val="single" w:color="auto" w:sz="4" w:space="0"/>
              <w:right w:val="single" w:color="000000" w:sz="4" w:space="0"/>
            </w:tcBorders>
            <w:vAlign w:val="center"/>
          </w:tcPr>
          <w:p w14:paraId="4899FB29">
            <w:pPr>
              <w:ind w:left="120"/>
              <w:rPr>
                <w:rFonts w:ascii="仿宋_GB2312" w:eastAsia="仿宋_GB2312"/>
                <w:sz w:val="24"/>
                <w:szCs w:val="24"/>
              </w:rPr>
            </w:pPr>
            <w:r>
              <w:rPr>
                <w:rFonts w:hint="eastAsia" w:ascii="仿宋_GB2312" w:hAnsi="Calibri" w:eastAsia="仿宋_GB2312" w:cs="Calibri"/>
                <w:sz w:val="24"/>
                <w:szCs w:val="24"/>
              </w:rPr>
              <w:t xml:space="preserve">80 </w:t>
            </w:r>
          </w:p>
        </w:tc>
        <w:tc>
          <w:tcPr>
            <w:tcW w:w="994" w:type="dxa"/>
            <w:tcBorders>
              <w:top w:val="single" w:color="000000" w:sz="4" w:space="0"/>
              <w:left w:val="single" w:color="000000" w:sz="4" w:space="0"/>
              <w:bottom w:val="single" w:color="auto" w:sz="4" w:space="0"/>
              <w:right w:val="single" w:color="000000" w:sz="4" w:space="0"/>
            </w:tcBorders>
            <w:vAlign w:val="center"/>
          </w:tcPr>
          <w:p w14:paraId="6F5F9C37">
            <w:pPr>
              <w:ind w:right="62"/>
              <w:jc w:val="center"/>
              <w:rPr>
                <w:rFonts w:ascii="仿宋_GB2312" w:eastAsia="仿宋_GB2312"/>
                <w:sz w:val="24"/>
                <w:szCs w:val="24"/>
              </w:rPr>
            </w:pPr>
            <w:r>
              <w:rPr>
                <w:rFonts w:hint="eastAsia" w:ascii="仿宋_GB2312" w:hAnsi="Calibri" w:eastAsia="仿宋_GB2312" w:cs="Calibri"/>
                <w:sz w:val="24"/>
                <w:szCs w:val="24"/>
              </w:rPr>
              <w:t xml:space="preserve">500 </w:t>
            </w:r>
          </w:p>
        </w:tc>
        <w:tc>
          <w:tcPr>
            <w:tcW w:w="1133" w:type="dxa"/>
            <w:tcBorders>
              <w:top w:val="single" w:color="000000" w:sz="4" w:space="0"/>
              <w:left w:val="single" w:color="000000" w:sz="4" w:space="0"/>
              <w:bottom w:val="single" w:color="auto" w:sz="4" w:space="0"/>
              <w:right w:val="single" w:color="000000" w:sz="4" w:space="0"/>
            </w:tcBorders>
            <w:vAlign w:val="center"/>
          </w:tcPr>
          <w:p w14:paraId="547F5C22">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auto" w:sz="4" w:space="0"/>
              <w:right w:val="single" w:color="000000" w:sz="4" w:space="0"/>
            </w:tcBorders>
            <w:vAlign w:val="center"/>
          </w:tcPr>
          <w:p w14:paraId="13309980">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7609B873">
        <w:tblPrEx>
          <w:tblCellMar>
            <w:top w:w="0" w:type="dxa"/>
            <w:left w:w="113" w:type="dxa"/>
            <w:bottom w:w="8" w:type="dxa"/>
            <w:right w:w="55" w:type="dxa"/>
          </w:tblCellMar>
        </w:tblPrEx>
        <w:trPr>
          <w:trHeight w:val="466" w:hRule="atLeast"/>
        </w:trPr>
        <w:tc>
          <w:tcPr>
            <w:tcW w:w="900" w:type="dxa"/>
            <w:vMerge w:val="restart"/>
            <w:tcBorders>
              <w:top w:val="single" w:color="auto" w:sz="4" w:space="0"/>
              <w:left w:val="single" w:color="auto" w:sz="4" w:space="0"/>
              <w:bottom w:val="nil"/>
              <w:right w:val="single" w:color="000000" w:sz="4" w:space="0"/>
            </w:tcBorders>
            <w:vAlign w:val="center"/>
          </w:tcPr>
          <w:p w14:paraId="77DC4ABD">
            <w:pPr>
              <w:ind w:right="58"/>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p>
        </w:tc>
        <w:tc>
          <w:tcPr>
            <w:tcW w:w="1841" w:type="dxa"/>
            <w:tcBorders>
              <w:top w:val="single" w:color="auto" w:sz="4" w:space="0"/>
              <w:left w:val="single" w:color="000000" w:sz="4" w:space="0"/>
              <w:bottom w:val="single" w:color="000000" w:sz="4" w:space="0"/>
              <w:right w:val="single" w:color="000000" w:sz="4" w:space="0"/>
            </w:tcBorders>
            <w:vAlign w:val="center"/>
          </w:tcPr>
          <w:p w14:paraId="258745C9">
            <w:pPr>
              <w:ind w:right="55"/>
              <w:jc w:val="center"/>
              <w:rPr>
                <w:rFonts w:ascii="仿宋_GB2312" w:eastAsia="仿宋_GB2312"/>
                <w:sz w:val="24"/>
                <w:szCs w:val="24"/>
              </w:rPr>
            </w:pPr>
            <w:r>
              <w:rPr>
                <w:rFonts w:hint="eastAsia" w:ascii="仿宋_GB2312" w:hAnsi="Calibri" w:eastAsia="仿宋_GB2312" w:cs="Calibri"/>
                <w:sz w:val="24"/>
                <w:szCs w:val="24"/>
              </w:rPr>
              <w:t>FeSO</w:t>
            </w:r>
            <w:r>
              <w:rPr>
                <w:rFonts w:hint="eastAsia" w:ascii="仿宋_GB2312" w:hAnsi="Calibri" w:eastAsia="仿宋_GB2312" w:cs="Calibri"/>
                <w:sz w:val="24"/>
                <w:szCs w:val="24"/>
                <w:vertAlign w:val="subscript"/>
              </w:rPr>
              <w:t>4</w:t>
            </w:r>
            <w:r>
              <w:rPr>
                <w:rFonts w:hint="eastAsia"/>
                <w:sz w:val="24"/>
                <w:szCs w:val="24"/>
              </w:rPr>
              <w:t>﹒</w:t>
            </w:r>
            <w:r>
              <w:rPr>
                <w:rFonts w:hint="eastAsia" w:ascii="仿宋_GB2312" w:hAnsi="Calibri" w:eastAsia="仿宋_GB2312" w:cs="Calibri"/>
                <w:sz w:val="24"/>
                <w:szCs w:val="24"/>
              </w:rPr>
              <w:t>7H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auto" w:sz="4" w:space="0"/>
              <w:left w:val="single" w:color="000000" w:sz="4" w:space="0"/>
              <w:bottom w:val="single" w:color="000000" w:sz="4" w:space="0"/>
              <w:right w:val="single" w:color="000000" w:sz="4" w:space="0"/>
            </w:tcBorders>
            <w:vAlign w:val="center"/>
          </w:tcPr>
          <w:p w14:paraId="0CAAF92D">
            <w:pPr>
              <w:ind w:right="57"/>
              <w:jc w:val="center"/>
              <w:rPr>
                <w:rFonts w:ascii="仿宋_GB2312" w:eastAsia="仿宋_GB2312"/>
                <w:sz w:val="24"/>
                <w:szCs w:val="24"/>
              </w:rPr>
            </w:pPr>
            <w:r>
              <w:rPr>
                <w:rFonts w:hint="eastAsia" w:ascii="仿宋_GB2312" w:hAnsi="Calibri" w:eastAsia="仿宋_GB2312" w:cs="Calibri"/>
                <w:sz w:val="24"/>
                <w:szCs w:val="24"/>
              </w:rPr>
              <w:t>13.9</w:t>
            </w:r>
          </w:p>
        </w:tc>
        <w:tc>
          <w:tcPr>
            <w:tcW w:w="708" w:type="dxa"/>
            <w:vMerge w:val="restart"/>
            <w:tcBorders>
              <w:top w:val="single" w:color="auto" w:sz="4" w:space="0"/>
              <w:left w:val="single" w:color="000000" w:sz="4" w:space="0"/>
              <w:bottom w:val="nil"/>
              <w:right w:val="single" w:color="000000" w:sz="4" w:space="0"/>
            </w:tcBorders>
            <w:vAlign w:val="center"/>
          </w:tcPr>
          <w:p w14:paraId="5EDC3954">
            <w:pPr>
              <w:jc w:val="center"/>
              <w:rPr>
                <w:rFonts w:ascii="仿宋_GB2312" w:eastAsia="仿宋_GB2312"/>
                <w:sz w:val="24"/>
                <w:szCs w:val="24"/>
              </w:rPr>
            </w:pPr>
            <w:r>
              <w:rPr>
                <w:rFonts w:hint="eastAsia" w:ascii="仿宋_GB2312" w:hAnsi="Calibri" w:eastAsia="仿宋_GB2312" w:cs="Calibri"/>
                <w:sz w:val="24"/>
                <w:szCs w:val="24"/>
              </w:rPr>
              <w:t>300</w:t>
            </w:r>
          </w:p>
        </w:tc>
        <w:tc>
          <w:tcPr>
            <w:tcW w:w="994" w:type="dxa"/>
            <w:vMerge w:val="restart"/>
            <w:tcBorders>
              <w:top w:val="single" w:color="auto" w:sz="4" w:space="0"/>
              <w:left w:val="single" w:color="000000" w:sz="4" w:space="0"/>
              <w:bottom w:val="nil"/>
              <w:right w:val="single" w:color="000000" w:sz="4" w:space="0"/>
            </w:tcBorders>
            <w:vAlign w:val="center"/>
          </w:tcPr>
          <w:p w14:paraId="032010B4">
            <w:pPr>
              <w:ind w:right="62"/>
              <w:jc w:val="center"/>
              <w:rPr>
                <w:rFonts w:ascii="仿宋_GB2312" w:eastAsia="仿宋_GB2312"/>
                <w:sz w:val="24"/>
                <w:szCs w:val="24"/>
              </w:rPr>
            </w:pPr>
            <w:r>
              <w:rPr>
                <w:rFonts w:hint="eastAsia" w:ascii="仿宋_GB2312" w:hAnsi="Calibri" w:eastAsia="仿宋_GB2312" w:cs="Calibri"/>
                <w:sz w:val="24"/>
                <w:szCs w:val="24"/>
              </w:rPr>
              <w:t>250</w:t>
            </w:r>
          </w:p>
        </w:tc>
        <w:tc>
          <w:tcPr>
            <w:tcW w:w="1133" w:type="dxa"/>
            <w:tcBorders>
              <w:top w:val="single" w:color="auto" w:sz="4" w:space="0"/>
              <w:left w:val="single" w:color="000000" w:sz="4" w:space="0"/>
              <w:bottom w:val="single" w:color="000000" w:sz="4" w:space="0"/>
              <w:right w:val="single" w:color="000000" w:sz="4" w:space="0"/>
            </w:tcBorders>
            <w:vAlign w:val="center"/>
          </w:tcPr>
          <w:p w14:paraId="15950963">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auto" w:sz="4" w:space="0"/>
              <w:left w:val="single" w:color="000000" w:sz="4" w:space="0"/>
              <w:bottom w:val="single" w:color="000000" w:sz="4" w:space="0"/>
              <w:right w:val="single" w:color="auto" w:sz="4" w:space="0"/>
            </w:tcBorders>
            <w:vAlign w:val="center"/>
          </w:tcPr>
          <w:p w14:paraId="3DD8BBD5">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435AFEFD">
        <w:tblPrEx>
          <w:tblCellMar>
            <w:top w:w="0" w:type="dxa"/>
            <w:left w:w="113" w:type="dxa"/>
            <w:bottom w:w="8" w:type="dxa"/>
            <w:right w:w="55" w:type="dxa"/>
          </w:tblCellMar>
        </w:tblPrEx>
        <w:trPr>
          <w:trHeight w:val="163" w:hRule="atLeast"/>
        </w:trPr>
        <w:tc>
          <w:tcPr>
            <w:tcW w:w="0" w:type="auto"/>
            <w:vMerge w:val="continue"/>
            <w:tcBorders>
              <w:top w:val="nil"/>
              <w:left w:val="single" w:color="auto" w:sz="4" w:space="0"/>
              <w:bottom w:val="single" w:color="auto" w:sz="4" w:space="0"/>
              <w:right w:val="single" w:color="000000" w:sz="4" w:space="0"/>
            </w:tcBorders>
          </w:tcPr>
          <w:p w14:paraId="5108F27C">
            <w:pPr>
              <w:spacing w:after="160"/>
              <w:rPr>
                <w:rFonts w:ascii="仿宋_GB2312" w:eastAsia="仿宋_GB2312"/>
                <w:sz w:val="24"/>
                <w:szCs w:val="24"/>
              </w:rPr>
            </w:pPr>
          </w:p>
        </w:tc>
        <w:tc>
          <w:tcPr>
            <w:tcW w:w="1841" w:type="dxa"/>
            <w:tcBorders>
              <w:top w:val="single" w:color="000000" w:sz="4" w:space="0"/>
              <w:left w:val="single" w:color="000000" w:sz="4" w:space="0"/>
              <w:bottom w:val="single" w:color="auto" w:sz="4" w:space="0"/>
              <w:right w:val="single" w:color="000000" w:sz="4" w:space="0"/>
            </w:tcBorders>
            <w:vAlign w:val="center"/>
          </w:tcPr>
          <w:p w14:paraId="70CCB0CA">
            <w:pPr>
              <w:ind w:right="55"/>
              <w:jc w:val="center"/>
              <w:rPr>
                <w:rFonts w:ascii="仿宋_GB2312" w:hAnsi="Calibri" w:eastAsia="仿宋_GB2312" w:cs="Calibri"/>
                <w:sz w:val="24"/>
                <w:szCs w:val="24"/>
              </w:rPr>
            </w:pPr>
            <w:r>
              <w:rPr>
                <w:rFonts w:hint="eastAsia" w:ascii="仿宋_GB2312" w:hAnsi="Calibri" w:eastAsia="仿宋_GB2312" w:cs="Calibri"/>
                <w:sz w:val="24"/>
                <w:szCs w:val="24"/>
              </w:rPr>
              <w:t>Na</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-EDTA</w:t>
            </w:r>
          </w:p>
        </w:tc>
        <w:tc>
          <w:tcPr>
            <w:tcW w:w="1702" w:type="dxa"/>
            <w:tcBorders>
              <w:top w:val="single" w:color="000000" w:sz="4" w:space="0"/>
              <w:left w:val="single" w:color="000000" w:sz="4" w:space="0"/>
              <w:bottom w:val="single" w:color="auto" w:sz="4" w:space="0"/>
              <w:right w:val="single" w:color="000000" w:sz="4" w:space="0"/>
            </w:tcBorders>
            <w:vAlign w:val="center"/>
          </w:tcPr>
          <w:p w14:paraId="1F8B17F7">
            <w:pPr>
              <w:ind w:right="55"/>
              <w:jc w:val="center"/>
              <w:rPr>
                <w:rFonts w:ascii="仿宋_GB2312" w:hAnsi="Calibri" w:eastAsia="仿宋_GB2312" w:cs="Calibri"/>
                <w:sz w:val="24"/>
                <w:szCs w:val="24"/>
              </w:rPr>
            </w:pPr>
            <w:r>
              <w:rPr>
                <w:rFonts w:hint="eastAsia" w:ascii="仿宋_GB2312" w:hAnsi="Calibri" w:eastAsia="仿宋_GB2312" w:cs="Calibri"/>
                <w:sz w:val="24"/>
                <w:szCs w:val="24"/>
              </w:rPr>
              <w:t>18.6</w:t>
            </w:r>
          </w:p>
        </w:tc>
        <w:tc>
          <w:tcPr>
            <w:tcW w:w="0" w:type="auto"/>
            <w:vMerge w:val="continue"/>
            <w:tcBorders>
              <w:top w:val="nil"/>
              <w:left w:val="single" w:color="000000" w:sz="4" w:space="0"/>
              <w:bottom w:val="single" w:color="auto" w:sz="4" w:space="0"/>
              <w:right w:val="single" w:color="000000" w:sz="4" w:space="0"/>
            </w:tcBorders>
          </w:tcPr>
          <w:p w14:paraId="65B2ADCC">
            <w:pPr>
              <w:spacing w:after="160"/>
              <w:rPr>
                <w:rFonts w:ascii="仿宋_GB2312" w:eastAsia="仿宋_GB2312"/>
                <w:sz w:val="24"/>
                <w:szCs w:val="24"/>
              </w:rPr>
            </w:pPr>
          </w:p>
        </w:tc>
        <w:tc>
          <w:tcPr>
            <w:tcW w:w="0" w:type="auto"/>
            <w:vMerge w:val="continue"/>
            <w:tcBorders>
              <w:top w:val="nil"/>
              <w:left w:val="single" w:color="000000" w:sz="4" w:space="0"/>
              <w:bottom w:val="single" w:color="auto" w:sz="4" w:space="0"/>
              <w:right w:val="single" w:color="000000" w:sz="4" w:space="0"/>
            </w:tcBorders>
          </w:tcPr>
          <w:p w14:paraId="39C65901">
            <w:pPr>
              <w:spacing w:after="160"/>
              <w:rPr>
                <w:rFonts w:ascii="仿宋_GB2312" w:eastAsia="仿宋_GB2312"/>
                <w:sz w:val="24"/>
                <w:szCs w:val="24"/>
              </w:rPr>
            </w:pPr>
          </w:p>
        </w:tc>
        <w:tc>
          <w:tcPr>
            <w:tcW w:w="1133" w:type="dxa"/>
            <w:tcBorders>
              <w:top w:val="single" w:color="000000" w:sz="4" w:space="0"/>
              <w:left w:val="single" w:color="000000" w:sz="4" w:space="0"/>
              <w:bottom w:val="single" w:color="auto" w:sz="4" w:space="0"/>
              <w:right w:val="single" w:color="000000" w:sz="4" w:space="0"/>
            </w:tcBorders>
          </w:tcPr>
          <w:p w14:paraId="1C55900E">
            <w:pPr>
              <w:spacing w:after="160"/>
              <w:rPr>
                <w:rFonts w:ascii="仿宋_GB2312" w:eastAsia="仿宋_GB2312"/>
                <w:sz w:val="24"/>
                <w:szCs w:val="24"/>
              </w:rPr>
            </w:pPr>
          </w:p>
        </w:tc>
        <w:tc>
          <w:tcPr>
            <w:tcW w:w="1280" w:type="dxa"/>
            <w:tcBorders>
              <w:top w:val="single" w:color="000000" w:sz="4" w:space="0"/>
              <w:left w:val="single" w:color="000000" w:sz="4" w:space="0"/>
              <w:bottom w:val="single" w:color="auto" w:sz="4" w:space="0"/>
              <w:right w:val="single" w:color="auto" w:sz="4" w:space="0"/>
            </w:tcBorders>
          </w:tcPr>
          <w:p w14:paraId="69356EEE">
            <w:pPr>
              <w:spacing w:after="160"/>
              <w:rPr>
                <w:rFonts w:ascii="仿宋_GB2312" w:eastAsia="仿宋_GB2312"/>
                <w:sz w:val="24"/>
                <w:szCs w:val="24"/>
              </w:rPr>
            </w:pPr>
          </w:p>
        </w:tc>
      </w:tr>
    </w:tbl>
    <w:p w14:paraId="7E40C8D8">
      <w:pPr>
        <w:spacing w:before="312" w:beforeLines="100" w:after="312" w:afterLines="100"/>
        <w:ind w:left="-6" w:hanging="11"/>
        <w:rPr>
          <w:rFonts w:ascii="仿宋_GB2312" w:eastAsia="仿宋_GB2312"/>
          <w:b/>
          <w:sz w:val="30"/>
        </w:rPr>
      </w:pPr>
      <w:r>
        <w:rPr>
          <w:rFonts w:ascii="仿宋_GB2312" w:eastAsia="仿宋_GB2312"/>
          <w:b/>
          <w:sz w:val="30"/>
        </w:rPr>
        <w:t>二、工作液配制</w:t>
      </w:r>
    </w:p>
    <w:tbl>
      <w:tblPr>
        <w:tblStyle w:val="11"/>
        <w:tblW w:w="8529" w:type="dxa"/>
        <w:tblInd w:w="-108" w:type="dxa"/>
        <w:tblLayout w:type="autofit"/>
        <w:tblCellMar>
          <w:top w:w="0" w:type="dxa"/>
          <w:left w:w="108" w:type="dxa"/>
          <w:bottom w:w="0" w:type="dxa"/>
          <w:right w:w="17" w:type="dxa"/>
        </w:tblCellMar>
      </w:tblPr>
      <w:tblGrid>
        <w:gridCol w:w="1682"/>
        <w:gridCol w:w="2235"/>
        <w:gridCol w:w="1724"/>
        <w:gridCol w:w="1549"/>
        <w:gridCol w:w="1339"/>
      </w:tblGrid>
      <w:tr w14:paraId="4E902DE5">
        <w:tblPrEx>
          <w:tblCellMar>
            <w:top w:w="0" w:type="dxa"/>
            <w:left w:w="108" w:type="dxa"/>
            <w:bottom w:w="0" w:type="dxa"/>
            <w:right w:w="17" w:type="dxa"/>
          </w:tblCellMar>
        </w:tblPrEx>
        <w:trPr>
          <w:trHeight w:val="554"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5000D112">
            <w:pPr>
              <w:ind w:right="89"/>
              <w:jc w:val="center"/>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2235" w:type="dxa"/>
            <w:tcBorders>
              <w:top w:val="single" w:color="000000" w:sz="4" w:space="0"/>
              <w:left w:val="single" w:color="000000" w:sz="4" w:space="0"/>
              <w:bottom w:val="single" w:color="000000" w:sz="4" w:space="0"/>
              <w:right w:val="single" w:color="000000" w:sz="4" w:space="0"/>
            </w:tcBorders>
            <w:vAlign w:val="center"/>
          </w:tcPr>
          <w:p w14:paraId="1AF04355">
            <w:pPr>
              <w:jc w:val="center"/>
              <w:rPr>
                <w:rFonts w:ascii="仿宋_GB2312" w:eastAsia="仿宋_GB2312"/>
                <w:sz w:val="24"/>
                <w:szCs w:val="24"/>
              </w:rPr>
            </w:pPr>
            <w:r>
              <w:rPr>
                <w:rFonts w:hint="eastAsia" w:ascii="仿宋_GB2312" w:eastAsia="仿宋_GB2312"/>
                <w:sz w:val="24"/>
                <w:szCs w:val="24"/>
              </w:rPr>
              <w:t>配制工作液体积（</w:t>
            </w:r>
            <w:r>
              <w:rPr>
                <w:rFonts w:hint="eastAsia" w:ascii="仿宋_GB2312" w:hAnsi="Calibri" w:eastAsia="仿宋_GB2312" w:cs="Calibri"/>
                <w:sz w:val="24"/>
                <w:szCs w:val="24"/>
              </w:rPr>
              <w:t>ml</w:t>
            </w:r>
            <w:r>
              <w:rPr>
                <w:rFonts w:hint="eastAsia" w:ascii="仿宋_GB2312" w:eastAsia="仿宋_GB2312"/>
                <w:sz w:val="24"/>
                <w:szCs w:val="24"/>
              </w:rPr>
              <w:t>）</w:t>
            </w:r>
          </w:p>
        </w:tc>
        <w:tc>
          <w:tcPr>
            <w:tcW w:w="1724" w:type="dxa"/>
            <w:tcBorders>
              <w:top w:val="single" w:color="000000" w:sz="4" w:space="0"/>
              <w:left w:val="single" w:color="000000" w:sz="4" w:space="0"/>
              <w:bottom w:val="single" w:color="000000" w:sz="4" w:space="0"/>
              <w:right w:val="single" w:color="000000" w:sz="4" w:space="0"/>
            </w:tcBorders>
            <w:vAlign w:val="center"/>
          </w:tcPr>
          <w:p w14:paraId="6464DDCF">
            <w:pPr>
              <w:ind w:right="94"/>
              <w:jc w:val="center"/>
              <w:rPr>
                <w:rFonts w:ascii="仿宋_GB2312" w:eastAsia="仿宋_GB2312"/>
                <w:sz w:val="24"/>
                <w:szCs w:val="24"/>
              </w:rPr>
            </w:pPr>
            <w:r>
              <w:rPr>
                <w:rFonts w:hint="eastAsia" w:ascii="仿宋_GB2312" w:eastAsia="仿宋_GB2312"/>
                <w:sz w:val="24"/>
                <w:szCs w:val="24"/>
              </w:rPr>
              <w:t>配制剂量</w:t>
            </w:r>
            <w:r>
              <w:rPr>
                <w:rFonts w:hint="eastAsia" w:ascii="仿宋_GB2312" w:hAnsi="Calibri" w:eastAsia="仿宋_GB2312" w:cs="Calibri"/>
                <w:sz w:val="24"/>
                <w:szCs w:val="24"/>
              </w:rPr>
              <w:t xml:space="preserve"> </w:t>
            </w:r>
          </w:p>
        </w:tc>
        <w:tc>
          <w:tcPr>
            <w:tcW w:w="1549" w:type="dxa"/>
            <w:tcBorders>
              <w:top w:val="single" w:color="000000" w:sz="4" w:space="0"/>
              <w:left w:val="single" w:color="000000" w:sz="4" w:space="0"/>
              <w:bottom w:val="single" w:color="000000" w:sz="4" w:space="0"/>
              <w:right w:val="single" w:color="000000" w:sz="4" w:space="0"/>
            </w:tcBorders>
          </w:tcPr>
          <w:p w14:paraId="208A89FC">
            <w:pPr>
              <w:spacing w:after="27"/>
              <w:jc w:val="center"/>
              <w:rPr>
                <w:rFonts w:ascii="仿宋_GB2312" w:eastAsia="仿宋_GB2312"/>
                <w:sz w:val="24"/>
                <w:szCs w:val="24"/>
              </w:rPr>
            </w:pPr>
            <w:r>
              <w:rPr>
                <w:rFonts w:hint="eastAsia" w:ascii="仿宋_GB2312" w:eastAsia="仿宋_GB2312"/>
                <w:sz w:val="24"/>
                <w:szCs w:val="24"/>
              </w:rPr>
              <w:t>理论移取</w:t>
            </w:r>
          </w:p>
          <w:p w14:paraId="040D5781">
            <w:pPr>
              <w:ind w:right="92"/>
              <w:jc w:val="center"/>
              <w:rPr>
                <w:rFonts w:ascii="仿宋_GB2312" w:eastAsia="仿宋_GB2312"/>
                <w:sz w:val="24"/>
                <w:szCs w:val="24"/>
              </w:rPr>
            </w:pPr>
            <w:r>
              <w:rPr>
                <w:rFonts w:hint="eastAsia" w:ascii="仿宋_GB2312" w:eastAsia="仿宋_GB2312"/>
                <w:sz w:val="24"/>
                <w:szCs w:val="24"/>
              </w:rPr>
              <w:t>母液量</w:t>
            </w:r>
          </w:p>
          <w:p w14:paraId="3E5CAF4B">
            <w:pPr>
              <w:ind w:right="92"/>
              <w:jc w:val="center"/>
              <w:rPr>
                <w:rFonts w:ascii="仿宋_GB2312" w:eastAsia="仿宋_GB2312"/>
                <w:sz w:val="24"/>
                <w:szCs w:val="24"/>
              </w:rPr>
            </w:pPr>
            <w:r>
              <w:rPr>
                <w:rFonts w:hint="eastAsia" w:ascii="仿宋_GB2312" w:hAnsi="Calibri" w:eastAsia="仿宋_GB2312" w:cs="Calibri"/>
                <w:sz w:val="24"/>
                <w:szCs w:val="24"/>
              </w:rPr>
              <w:t xml:space="preserve">(ml) </w:t>
            </w:r>
          </w:p>
        </w:tc>
        <w:tc>
          <w:tcPr>
            <w:tcW w:w="1339" w:type="dxa"/>
            <w:tcBorders>
              <w:top w:val="single" w:color="000000" w:sz="4" w:space="0"/>
              <w:left w:val="single" w:color="000000" w:sz="4" w:space="0"/>
              <w:bottom w:val="single" w:color="000000" w:sz="4" w:space="0"/>
              <w:right w:val="single" w:color="000000" w:sz="4" w:space="0"/>
            </w:tcBorders>
          </w:tcPr>
          <w:p w14:paraId="20959D58">
            <w:pPr>
              <w:spacing w:after="27"/>
              <w:jc w:val="center"/>
              <w:rPr>
                <w:rFonts w:ascii="仿宋_GB2312" w:eastAsia="仿宋_GB2312"/>
                <w:sz w:val="24"/>
                <w:szCs w:val="24"/>
              </w:rPr>
            </w:pPr>
            <w:r>
              <w:rPr>
                <w:rFonts w:hint="eastAsia" w:ascii="仿宋_GB2312" w:eastAsia="仿宋_GB2312"/>
                <w:sz w:val="24"/>
                <w:szCs w:val="24"/>
              </w:rPr>
              <w:t>实际移取</w:t>
            </w:r>
          </w:p>
          <w:p w14:paraId="7EE073B1">
            <w:pPr>
              <w:ind w:left="74"/>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(ml)</w:t>
            </w:r>
          </w:p>
        </w:tc>
      </w:tr>
      <w:tr w14:paraId="01A8882F">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7ADE1938">
            <w:pPr>
              <w:ind w:right="91"/>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2235" w:type="dxa"/>
            <w:vMerge w:val="restart"/>
            <w:tcBorders>
              <w:top w:val="single" w:color="000000" w:sz="4" w:space="0"/>
              <w:left w:val="single" w:color="000000" w:sz="4" w:space="0"/>
              <w:bottom w:val="single" w:color="000000" w:sz="4" w:space="0"/>
              <w:right w:val="single" w:color="000000" w:sz="4" w:space="0"/>
            </w:tcBorders>
            <w:vAlign w:val="center"/>
          </w:tcPr>
          <w:p w14:paraId="135D2F8B">
            <w:pPr>
              <w:ind w:right="89"/>
              <w:jc w:val="center"/>
              <w:rPr>
                <w:rFonts w:ascii="仿宋_GB2312" w:eastAsia="仿宋_GB2312"/>
                <w:sz w:val="24"/>
                <w:szCs w:val="24"/>
              </w:rPr>
            </w:pPr>
            <w:r>
              <w:rPr>
                <w:rFonts w:hint="eastAsia" w:ascii="仿宋_GB2312" w:hAnsi="Calibri" w:eastAsia="仿宋_GB2312" w:cs="Calibri"/>
                <w:sz w:val="24"/>
                <w:szCs w:val="24"/>
              </w:rPr>
              <w:t xml:space="preserve">1000 </w:t>
            </w:r>
          </w:p>
        </w:tc>
        <w:tc>
          <w:tcPr>
            <w:tcW w:w="1724" w:type="dxa"/>
            <w:tcBorders>
              <w:top w:val="single" w:color="000000" w:sz="4" w:space="0"/>
              <w:left w:val="single" w:color="000000" w:sz="4" w:space="0"/>
              <w:bottom w:val="single" w:color="000000" w:sz="4" w:space="0"/>
              <w:right w:val="single" w:color="000000" w:sz="4" w:space="0"/>
            </w:tcBorders>
          </w:tcPr>
          <w:p w14:paraId="4661E988">
            <w:pPr>
              <w:ind w:right="89"/>
              <w:jc w:val="center"/>
              <w:rPr>
                <w:rFonts w:ascii="仿宋_GB2312" w:hAnsi="Calibri" w:eastAsia="仿宋_GB2312" w:cs="Calibri"/>
                <w:sz w:val="24"/>
                <w:szCs w:val="24"/>
              </w:rPr>
            </w:pPr>
            <m:oMathPara>
              <m:oMath>
                <m:f>
                  <m:fPr>
                    <m:ctrlPr>
                      <w:rPr>
                        <w:rFonts w:hint="eastAsia" w:ascii="Cambria Math" w:hAnsi="Cambria Math" w:eastAsia="仿宋_GB2312" w:cs="Calibri"/>
                        <w:sz w:val="24"/>
                        <w:szCs w:val="24"/>
                      </w:rPr>
                    </m:ctrlPr>
                  </m:fPr>
                  <m:num>
                    <m:r>
                      <m:rPr>
                        <m:sty m:val="p"/>
                      </m:rPr>
                      <w:rPr>
                        <w:rFonts w:hint="eastAsia" w:ascii="Cambria Math" w:hAnsi="Cambria Math" w:eastAsia="仿宋_GB2312" w:cs="Calibri"/>
                        <w:sz w:val="24"/>
                        <w:szCs w:val="24"/>
                      </w:rPr>
                      <m:t>3</m:t>
                    </m:r>
                    <m:ctrlPr>
                      <w:rPr>
                        <w:rFonts w:hint="eastAsia" w:ascii="Cambria Math" w:hAnsi="Cambria Math" w:eastAsia="仿宋_GB2312" w:cs="Calibri"/>
                        <w:sz w:val="24"/>
                        <w:szCs w:val="24"/>
                      </w:rPr>
                    </m:ctrlPr>
                  </m:num>
                  <m:den>
                    <m:r>
                      <m:rPr>
                        <m:sty m:val="p"/>
                      </m:rPr>
                      <w:rPr>
                        <w:rFonts w:hint="eastAsia" w:ascii="Cambria Math" w:hAnsi="Cambria Math" w:eastAsia="仿宋_GB2312" w:cs="Calibri"/>
                        <w:sz w:val="24"/>
                        <w:szCs w:val="24"/>
                      </w:rPr>
                      <m:t>8</m:t>
                    </m:r>
                    <m:ctrlPr>
                      <w:rPr>
                        <w:rFonts w:hint="eastAsia" w:ascii="Cambria Math" w:hAnsi="Cambria Math" w:eastAsia="仿宋_GB2312" w:cs="Calibri"/>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0CB0957F">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0526FFDB">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3C659062">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35D0C57E">
            <w:pPr>
              <w:ind w:right="89"/>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nil"/>
              <w:right w:val="single" w:color="000000" w:sz="4" w:space="0"/>
            </w:tcBorders>
          </w:tcPr>
          <w:p w14:paraId="4CDA9E82">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639A1F05">
            <w:pPr>
              <w:ind w:right="89"/>
              <w:jc w:val="center"/>
              <w:rPr>
                <w:rFonts w:ascii="仿宋_GB2312" w:hAnsi="Calibri" w:eastAsia="仿宋_GB2312" w:cs="Calibri"/>
                <w:sz w:val="24"/>
                <w:szCs w:val="24"/>
              </w:rPr>
            </w:pPr>
            <m:oMathPara>
              <m:oMathParaPr>
                <m:jc m:val="center"/>
              </m:oMathParaPr>
              <m:oMath>
                <m:f>
                  <m:fPr>
                    <m:ctrlPr>
                      <w:rPr>
                        <w:rFonts w:hint="eastAsia" w:ascii="Cambria Math" w:hAnsi="Cambria Math" w:eastAsia="仿宋_GB2312" w:cs="Calibri"/>
                        <w:sz w:val="24"/>
                        <w:szCs w:val="24"/>
                      </w:rPr>
                    </m:ctrlPr>
                  </m:fPr>
                  <m:num>
                    <m:r>
                      <m:rPr>
                        <m:sty m:val="p"/>
                      </m:rPr>
                      <w:rPr>
                        <w:rFonts w:hint="eastAsia" w:ascii="Cambria Math" w:hAnsi="Cambria Math" w:eastAsia="仿宋_GB2312" w:cs="Calibri"/>
                        <w:sz w:val="24"/>
                        <w:szCs w:val="24"/>
                      </w:rPr>
                      <m:t>1</m:t>
                    </m:r>
                    <m:ctrlPr>
                      <w:rPr>
                        <w:rFonts w:hint="eastAsia" w:ascii="Cambria Math" w:hAnsi="Cambria Math" w:eastAsia="仿宋_GB2312" w:cs="Calibri"/>
                        <w:sz w:val="24"/>
                        <w:szCs w:val="24"/>
                      </w:rPr>
                    </m:ctrlPr>
                  </m:num>
                  <m:den>
                    <m:r>
                      <m:rPr>
                        <m:sty m:val="p"/>
                      </m:rPr>
                      <w:rPr>
                        <w:rFonts w:hint="eastAsia" w:ascii="Cambria Math" w:hAnsi="Cambria Math" w:eastAsia="仿宋_GB2312" w:cs="Calibri"/>
                        <w:sz w:val="24"/>
                        <w:szCs w:val="24"/>
                      </w:rPr>
                      <m:t>7</m:t>
                    </m:r>
                    <m:ctrlPr>
                      <w:rPr>
                        <w:rFonts w:hint="eastAsia" w:ascii="Cambria Math" w:hAnsi="Cambria Math" w:eastAsia="仿宋_GB2312" w:cs="Calibri"/>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6E4A4597">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74B95C75">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6078850F">
        <w:tblPrEx>
          <w:tblCellMar>
            <w:top w:w="0" w:type="dxa"/>
            <w:left w:w="108" w:type="dxa"/>
            <w:bottom w:w="0" w:type="dxa"/>
            <w:right w:w="17" w:type="dxa"/>
          </w:tblCellMar>
        </w:tblPrEx>
        <w:trPr>
          <w:trHeight w:val="653"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3BB5FF3A">
            <w:pPr>
              <w:ind w:right="91"/>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single" w:color="000000" w:sz="4" w:space="0"/>
              <w:right w:val="single" w:color="000000" w:sz="4" w:space="0"/>
            </w:tcBorders>
          </w:tcPr>
          <w:p w14:paraId="3BFBD2A7">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0444DD7D">
            <w:pPr>
              <w:ind w:right="89"/>
              <w:jc w:val="center"/>
              <w:rPr>
                <w:rFonts w:ascii="仿宋_GB2312" w:hAnsi="Calibri" w:eastAsia="仿宋_GB2312" w:cs="Calibri"/>
                <w:sz w:val="24"/>
                <w:szCs w:val="24"/>
              </w:rPr>
            </w:pPr>
            <m:oMathPara>
              <m:oMath>
                <m:f>
                  <m:fPr>
                    <m:ctrlPr>
                      <w:rPr>
                        <w:rFonts w:hint="eastAsia" w:ascii="Cambria Math" w:hAnsi="Cambria Math" w:eastAsia="仿宋_GB2312" w:cs="Calibri"/>
                        <w:sz w:val="24"/>
                        <w:szCs w:val="24"/>
                      </w:rPr>
                    </m:ctrlPr>
                  </m:fPr>
                  <m:num>
                    <m:r>
                      <m:rPr>
                        <m:sty m:val="p"/>
                      </m:rPr>
                      <w:rPr>
                        <w:rFonts w:hint="eastAsia" w:ascii="Cambria Math" w:hAnsi="Cambria Math" w:eastAsia="仿宋_GB2312" w:cs="Calibri"/>
                        <w:sz w:val="24"/>
                        <w:szCs w:val="24"/>
                      </w:rPr>
                      <m:t>1</m:t>
                    </m:r>
                    <m:ctrlPr>
                      <w:rPr>
                        <w:rFonts w:hint="eastAsia" w:ascii="Cambria Math" w:hAnsi="Cambria Math" w:eastAsia="仿宋_GB2312" w:cs="Calibri"/>
                        <w:sz w:val="24"/>
                        <w:szCs w:val="24"/>
                      </w:rPr>
                    </m:ctrlPr>
                  </m:num>
                  <m:den>
                    <m:r>
                      <m:rPr>
                        <m:sty m:val="p"/>
                      </m:rPr>
                      <w:rPr>
                        <w:rFonts w:hint="eastAsia" w:ascii="Cambria Math" w:hAnsi="Cambria Math" w:eastAsia="仿宋_GB2312" w:cs="Calibri"/>
                        <w:sz w:val="24"/>
                        <w:szCs w:val="24"/>
                      </w:rPr>
                      <m:t>3</m:t>
                    </m:r>
                    <m:ctrlPr>
                      <w:rPr>
                        <w:rFonts w:hint="eastAsia" w:ascii="Cambria Math" w:hAnsi="Cambria Math" w:eastAsia="仿宋_GB2312" w:cs="Calibri"/>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26DFD343">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4D807012">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bl>
    <w:p w14:paraId="621C4CD9">
      <w:pPr>
        <w:spacing w:before="312" w:beforeLines="100" w:after="312" w:afterLines="100"/>
        <w:ind w:left="-6" w:hanging="11"/>
        <w:rPr>
          <w:rFonts w:ascii="仿宋_GB2312" w:eastAsia="仿宋_GB2312"/>
          <w:b/>
          <w:sz w:val="30"/>
        </w:rPr>
      </w:pPr>
      <w:r>
        <w:rPr>
          <w:rFonts w:hint="eastAsia" w:ascii="仿宋_GB2312" w:eastAsia="仿宋_GB2312"/>
          <w:b/>
          <w:sz w:val="30"/>
        </w:rPr>
        <w:t>实际操作结束时间（根据现场钟表填写）：</w:t>
      </w:r>
    </w:p>
    <w:p w14:paraId="2D521229">
      <w:pPr>
        <w:adjustRightInd w:val="0"/>
        <w:snapToGrid w:val="0"/>
        <w:rPr>
          <w:sz w:val="30"/>
        </w:rPr>
      </w:pPr>
    </w:p>
    <w:p w14:paraId="3E93C65F">
      <w:pPr>
        <w:adjustRightInd w:val="0"/>
        <w:snapToGrid w:val="0"/>
        <w:rPr>
          <w:sz w:val="30"/>
        </w:rPr>
      </w:pPr>
    </w:p>
    <w:p w14:paraId="37039FE9">
      <w:pPr>
        <w:rPr>
          <w:sz w:val="30"/>
        </w:rPr>
      </w:pPr>
      <w:r>
        <w:rPr>
          <w:rFonts w:hint="eastAsia"/>
          <w:sz w:val="30"/>
        </w:rPr>
        <w:br w:type="page"/>
      </w:r>
    </w:p>
    <w:p w14:paraId="7D5E382F">
      <w:pPr>
        <w:spacing w:after="188"/>
        <w:jc w:val="center"/>
        <w:rPr>
          <w:rFonts w:ascii="方正小标宋简体" w:eastAsia="方正小标宋简体"/>
        </w:rPr>
      </w:pPr>
      <w:r>
        <w:rPr>
          <w:rFonts w:hint="eastAsia" w:ascii="方正小标宋简体" w:eastAsia="方正小标宋简体"/>
          <w:sz w:val="36"/>
          <w:lang w:val="en-US" w:eastAsia="zh-CN"/>
        </w:rPr>
        <w:t>2025年河北省</w:t>
      </w:r>
      <w:r>
        <w:rPr>
          <w:rFonts w:hint="eastAsia" w:ascii="方正小标宋简体" w:eastAsia="方正小标宋简体"/>
          <w:sz w:val="36"/>
        </w:rPr>
        <w:t>职业院校技能大赛植物嫁接赛项</w:t>
      </w:r>
    </w:p>
    <w:p w14:paraId="074794A8">
      <w:pPr>
        <w:spacing w:after="188"/>
        <w:jc w:val="center"/>
        <w:rPr>
          <w:rFonts w:ascii="方正小标宋简体" w:eastAsia="方正小标宋简体"/>
          <w:sz w:val="36"/>
        </w:rPr>
      </w:pPr>
      <w:r>
        <w:rPr>
          <w:rFonts w:ascii="方正小标宋简体" w:eastAsia="方正小标宋简体"/>
          <w:sz w:val="36"/>
        </w:rPr>
        <w:t>营养液配制操作试题（二）</w:t>
      </w:r>
    </w:p>
    <w:p w14:paraId="5F7A54F5">
      <w:pPr>
        <w:spacing w:before="312" w:beforeLines="100" w:after="312" w:afterLines="100"/>
        <w:ind w:left="-6" w:hanging="11"/>
        <w:rPr>
          <w:rFonts w:ascii="仿宋_GB2312" w:eastAsia="仿宋_GB2312"/>
          <w:b/>
          <w:sz w:val="30"/>
        </w:rPr>
      </w:pPr>
    </w:p>
    <w:p w14:paraId="4C6C0FE2">
      <w:pPr>
        <w:spacing w:before="312" w:beforeLines="100" w:after="312" w:afterLines="100"/>
        <w:ind w:left="-6" w:hanging="11"/>
        <w:rPr>
          <w:rFonts w:ascii="仿宋_GB2312" w:eastAsia="仿宋_GB2312"/>
          <w:b/>
          <w:sz w:val="30"/>
        </w:rPr>
      </w:pPr>
      <w:r>
        <w:rPr>
          <w:rFonts w:ascii="仿宋_GB2312" w:eastAsia="仿宋_GB2312"/>
          <w:b/>
          <w:sz w:val="30"/>
        </w:rPr>
        <w:t>工位号：                    分数：</w:t>
      </w:r>
    </w:p>
    <w:p w14:paraId="7D29168F">
      <w:pPr>
        <w:spacing w:before="312" w:beforeLines="100" w:after="312" w:afterLines="100"/>
        <w:ind w:left="-6" w:hanging="11"/>
        <w:rPr>
          <w:rFonts w:ascii="仿宋_GB2312" w:eastAsia="仿宋_GB2312"/>
          <w:b/>
          <w:sz w:val="30"/>
        </w:rPr>
      </w:pPr>
      <w:r>
        <w:rPr>
          <w:rFonts w:ascii="仿宋_GB2312" w:eastAsia="仿宋_GB2312"/>
          <w:b/>
          <w:sz w:val="30"/>
        </w:rPr>
        <w:t xml:space="preserve">一、母液配制 </w:t>
      </w:r>
    </w:p>
    <w:tbl>
      <w:tblPr>
        <w:tblStyle w:val="11"/>
        <w:tblW w:w="8558" w:type="dxa"/>
        <w:tblInd w:w="-122" w:type="dxa"/>
        <w:tblLayout w:type="autofit"/>
        <w:tblCellMar>
          <w:top w:w="0" w:type="dxa"/>
          <w:left w:w="113" w:type="dxa"/>
          <w:bottom w:w="8" w:type="dxa"/>
          <w:right w:w="55" w:type="dxa"/>
        </w:tblCellMar>
      </w:tblPr>
      <w:tblGrid>
        <w:gridCol w:w="900"/>
        <w:gridCol w:w="1841"/>
        <w:gridCol w:w="1702"/>
        <w:gridCol w:w="708"/>
        <w:gridCol w:w="994"/>
        <w:gridCol w:w="1133"/>
        <w:gridCol w:w="1280"/>
      </w:tblGrid>
      <w:tr w14:paraId="2E3CB1DF">
        <w:tblPrEx>
          <w:tblCellMar>
            <w:top w:w="0" w:type="dxa"/>
            <w:left w:w="113" w:type="dxa"/>
            <w:bottom w:w="8" w:type="dxa"/>
            <w:right w:w="55" w:type="dxa"/>
          </w:tblCellMar>
        </w:tblPrEx>
        <w:trPr>
          <w:trHeight w:val="812"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0B658EBC">
            <w:pPr>
              <w:ind w:left="127"/>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1B5D7A4D">
            <w:pPr>
              <w:ind w:right="56"/>
              <w:jc w:val="center"/>
              <w:rPr>
                <w:rFonts w:ascii="仿宋_GB2312" w:eastAsia="仿宋_GB2312"/>
                <w:sz w:val="24"/>
                <w:szCs w:val="24"/>
              </w:rPr>
            </w:pPr>
            <w:r>
              <w:rPr>
                <w:rFonts w:hint="eastAsia" w:ascii="仿宋_GB2312" w:eastAsia="仿宋_GB2312"/>
                <w:sz w:val="24"/>
                <w:szCs w:val="24"/>
              </w:rPr>
              <w:t>成份</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5B6FB2FA">
            <w:pPr>
              <w:ind w:left="36"/>
              <w:jc w:val="center"/>
              <w:rPr>
                <w:rFonts w:ascii="仿宋_GB2312" w:eastAsia="仿宋_GB2312"/>
                <w:sz w:val="24"/>
                <w:szCs w:val="24"/>
              </w:rPr>
            </w:pPr>
            <w:r>
              <w:rPr>
                <w:rFonts w:hint="eastAsia" w:ascii="仿宋_GB2312" w:eastAsia="仿宋_GB2312"/>
                <w:sz w:val="24"/>
                <w:szCs w:val="24"/>
              </w:rPr>
              <w:t>标准用量</w:t>
            </w:r>
            <w:r>
              <w:rPr>
                <w:rFonts w:hint="eastAsia" w:ascii="仿宋_GB2312" w:hAnsi="Calibri" w:eastAsia="仿宋_GB2312" w:cs="Calibri"/>
                <w:sz w:val="24"/>
                <w:szCs w:val="24"/>
              </w:rPr>
              <w:t>(mg/L)</w:t>
            </w:r>
          </w:p>
        </w:tc>
        <w:tc>
          <w:tcPr>
            <w:tcW w:w="708" w:type="dxa"/>
            <w:tcBorders>
              <w:top w:val="single" w:color="000000" w:sz="4" w:space="0"/>
              <w:left w:val="single" w:color="000000" w:sz="4" w:space="0"/>
              <w:bottom w:val="single" w:color="000000" w:sz="4" w:space="0"/>
              <w:right w:val="single" w:color="000000" w:sz="4" w:space="0"/>
            </w:tcBorders>
            <w:vAlign w:val="center"/>
          </w:tcPr>
          <w:p w14:paraId="4D5551EE">
            <w:pPr>
              <w:jc w:val="center"/>
              <w:rPr>
                <w:rFonts w:ascii="仿宋_GB2312" w:eastAsia="仿宋_GB2312"/>
                <w:sz w:val="24"/>
                <w:szCs w:val="24"/>
              </w:rPr>
            </w:pPr>
            <w:r>
              <w:rPr>
                <w:rFonts w:hint="eastAsia" w:ascii="仿宋_GB2312" w:eastAsia="仿宋_GB2312"/>
                <w:sz w:val="24"/>
                <w:szCs w:val="24"/>
              </w:rPr>
              <w:t>浓缩倍数</w:t>
            </w:r>
            <w:r>
              <w:rPr>
                <w:rFonts w:hint="eastAsia" w:ascii="仿宋_GB2312" w:hAnsi="Calibri" w:eastAsia="仿宋_GB2312" w:cs="Calibri"/>
                <w:sz w:val="24"/>
                <w:szCs w:val="24"/>
              </w:rPr>
              <w:t xml:space="preserve"> </w:t>
            </w:r>
          </w:p>
        </w:tc>
        <w:tc>
          <w:tcPr>
            <w:tcW w:w="994" w:type="dxa"/>
            <w:tcBorders>
              <w:top w:val="single" w:color="000000" w:sz="4" w:space="0"/>
              <w:left w:val="single" w:color="000000" w:sz="4" w:space="0"/>
              <w:bottom w:val="single" w:color="000000" w:sz="4" w:space="0"/>
              <w:right w:val="single" w:color="000000" w:sz="4" w:space="0"/>
            </w:tcBorders>
          </w:tcPr>
          <w:p w14:paraId="102409A3">
            <w:pPr>
              <w:spacing w:line="255" w:lineRule="auto"/>
              <w:jc w:val="center"/>
              <w:rPr>
                <w:rFonts w:ascii="仿宋_GB2312" w:eastAsia="仿宋_GB2312"/>
                <w:sz w:val="24"/>
                <w:szCs w:val="24"/>
              </w:rPr>
            </w:pPr>
            <w:r>
              <w:rPr>
                <w:rFonts w:hint="eastAsia" w:ascii="仿宋_GB2312" w:eastAsia="仿宋_GB2312"/>
                <w:sz w:val="24"/>
                <w:szCs w:val="24"/>
              </w:rPr>
              <w:t>配制母液体积</w:t>
            </w:r>
          </w:p>
          <w:p w14:paraId="617DCF3F">
            <w:pPr>
              <w:ind w:right="58"/>
              <w:jc w:val="center"/>
              <w:rPr>
                <w:rFonts w:ascii="仿宋_GB2312" w:eastAsia="仿宋_GB2312"/>
                <w:sz w:val="24"/>
                <w:szCs w:val="24"/>
              </w:rPr>
            </w:pPr>
            <w:r>
              <w:rPr>
                <w:rFonts w:hint="eastAsia" w:ascii="仿宋_GB2312" w:hAnsi="Calibri" w:eastAsia="仿宋_GB2312" w:cs="Calibri"/>
                <w:sz w:val="24"/>
                <w:szCs w:val="24"/>
              </w:rPr>
              <w:t xml:space="preserve">(ml) </w:t>
            </w:r>
          </w:p>
        </w:tc>
        <w:tc>
          <w:tcPr>
            <w:tcW w:w="1133" w:type="dxa"/>
            <w:tcBorders>
              <w:top w:val="single" w:color="000000" w:sz="4" w:space="0"/>
              <w:left w:val="single" w:color="000000" w:sz="4" w:space="0"/>
              <w:bottom w:val="single" w:color="000000" w:sz="4" w:space="0"/>
              <w:right w:val="single" w:color="000000" w:sz="4" w:space="0"/>
            </w:tcBorders>
            <w:vAlign w:val="center"/>
          </w:tcPr>
          <w:p w14:paraId="3DFD70A8">
            <w:pPr>
              <w:jc w:val="center"/>
              <w:rPr>
                <w:rFonts w:ascii="仿宋_GB2312" w:eastAsia="仿宋_GB2312"/>
                <w:sz w:val="24"/>
                <w:szCs w:val="24"/>
              </w:rPr>
            </w:pPr>
            <w:r>
              <w:rPr>
                <w:rFonts w:hint="eastAsia" w:ascii="仿宋_GB2312" w:eastAsia="仿宋_GB2312"/>
                <w:sz w:val="24"/>
                <w:szCs w:val="24"/>
              </w:rPr>
              <w:t>理论计算值</w:t>
            </w:r>
            <w:r>
              <w:rPr>
                <w:rFonts w:hint="eastAsia" w:ascii="仿宋_GB2312" w:hAnsi="Calibri" w:eastAsia="仿宋_GB2312" w:cs="Calibri"/>
                <w:sz w:val="24"/>
                <w:szCs w:val="24"/>
              </w:rPr>
              <w:t xml:space="preserve">(g) </w:t>
            </w:r>
          </w:p>
        </w:tc>
        <w:tc>
          <w:tcPr>
            <w:tcW w:w="1280" w:type="dxa"/>
            <w:tcBorders>
              <w:top w:val="single" w:color="000000" w:sz="4" w:space="0"/>
              <w:left w:val="single" w:color="000000" w:sz="4" w:space="0"/>
              <w:bottom w:val="single" w:color="000000" w:sz="4" w:space="0"/>
              <w:right w:val="single" w:color="000000" w:sz="4" w:space="0"/>
            </w:tcBorders>
            <w:vAlign w:val="center"/>
          </w:tcPr>
          <w:p w14:paraId="09BA53A9">
            <w:pPr>
              <w:rPr>
                <w:rFonts w:ascii="仿宋_GB2312" w:eastAsia="仿宋_GB2312"/>
                <w:sz w:val="24"/>
                <w:szCs w:val="24"/>
              </w:rPr>
            </w:pPr>
            <w:r>
              <w:rPr>
                <w:rFonts w:hint="eastAsia" w:ascii="仿宋_GB2312" w:eastAsia="仿宋_GB2312"/>
                <w:sz w:val="24"/>
                <w:szCs w:val="24"/>
              </w:rPr>
              <w:t>实际称取值</w:t>
            </w:r>
            <w:r>
              <w:rPr>
                <w:rFonts w:hint="eastAsia" w:ascii="仿宋_GB2312" w:hAnsi="Calibri" w:eastAsia="仿宋_GB2312" w:cs="Calibri"/>
                <w:sz w:val="24"/>
                <w:szCs w:val="24"/>
              </w:rPr>
              <w:t xml:space="preserve">(g) </w:t>
            </w:r>
          </w:p>
        </w:tc>
      </w:tr>
      <w:tr w14:paraId="263870FE">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79889CC1">
            <w:pPr>
              <w:ind w:right="58"/>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5B3DF9D7">
            <w:pPr>
              <w:ind w:right="55"/>
              <w:jc w:val="center"/>
              <w:rPr>
                <w:rFonts w:ascii="仿宋_GB2312" w:eastAsia="仿宋_GB2312"/>
                <w:sz w:val="24"/>
                <w:szCs w:val="24"/>
              </w:rPr>
            </w:pPr>
            <w:r>
              <w:rPr>
                <w:rFonts w:hint="eastAsia" w:ascii="仿宋_GB2312" w:hAnsi="Calibri" w:eastAsia="仿宋_GB2312" w:cs="Calibri"/>
                <w:sz w:val="24"/>
                <w:szCs w:val="24"/>
              </w:rPr>
              <w:t>Ca(NO</w:t>
            </w:r>
            <w:r>
              <w:rPr>
                <w:rFonts w:hint="eastAsia" w:ascii="仿宋_GB2312" w:hAnsi="Calibri" w:eastAsia="仿宋_GB2312" w:cs="Calibri"/>
                <w:sz w:val="24"/>
                <w:szCs w:val="24"/>
                <w:vertAlign w:val="subscript"/>
              </w:rPr>
              <w:t>3</w:t>
            </w:r>
            <w:r>
              <w:rPr>
                <w:rFonts w:hint="eastAsia" w:ascii="仿宋_GB2312" w:hAnsi="Calibri" w:eastAsia="仿宋_GB2312" w:cs="Calibri"/>
                <w:sz w:val="24"/>
                <w:szCs w:val="24"/>
              </w:rPr>
              <w:t>)</w:t>
            </w:r>
            <w:r>
              <w:rPr>
                <w:rFonts w:hint="eastAsia" w:ascii="仿宋_GB2312" w:hAnsi="Calibri" w:eastAsia="仿宋_GB2312" w:cs="Calibri"/>
                <w:sz w:val="24"/>
                <w:szCs w:val="24"/>
                <w:vertAlign w:val="subscript"/>
              </w:rPr>
              <w:t>2</w:t>
            </w:r>
            <w:r>
              <w:rPr>
                <w:rFonts w:hint="eastAsia"/>
                <w:sz w:val="24"/>
                <w:szCs w:val="24"/>
              </w:rPr>
              <w:t>﹒</w:t>
            </w:r>
            <w:r>
              <w:rPr>
                <w:rFonts w:hint="eastAsia" w:ascii="仿宋_GB2312" w:hAnsi="Calibri" w:eastAsia="仿宋_GB2312" w:cs="Calibri"/>
                <w:sz w:val="24"/>
                <w:szCs w:val="24"/>
              </w:rPr>
              <w:t>4H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000000" w:sz="4" w:space="0"/>
              <w:left w:val="single" w:color="000000" w:sz="4" w:space="0"/>
              <w:bottom w:val="single" w:color="000000" w:sz="4" w:space="0"/>
              <w:right w:val="single" w:color="000000" w:sz="4" w:space="0"/>
            </w:tcBorders>
            <w:vAlign w:val="center"/>
          </w:tcPr>
          <w:p w14:paraId="69AFB0DB">
            <w:pPr>
              <w:ind w:right="56"/>
              <w:jc w:val="center"/>
              <w:rPr>
                <w:rFonts w:ascii="仿宋_GB2312" w:eastAsia="仿宋_GB2312"/>
                <w:sz w:val="24"/>
                <w:szCs w:val="24"/>
              </w:rPr>
            </w:pPr>
            <w:r>
              <w:rPr>
                <w:rFonts w:hint="eastAsia" w:ascii="仿宋_GB2312" w:hAnsi="Calibri" w:eastAsia="仿宋_GB2312" w:cs="Calibri"/>
                <w:sz w:val="24"/>
                <w:szCs w:val="24"/>
              </w:rPr>
              <w:t xml:space="preserve">945 </w:t>
            </w:r>
          </w:p>
        </w:tc>
        <w:tc>
          <w:tcPr>
            <w:tcW w:w="708" w:type="dxa"/>
            <w:tcBorders>
              <w:top w:val="single" w:color="000000" w:sz="4" w:space="0"/>
              <w:left w:val="single" w:color="000000" w:sz="4" w:space="0"/>
              <w:bottom w:val="single" w:color="000000" w:sz="4" w:space="0"/>
              <w:right w:val="single" w:color="000000" w:sz="4" w:space="0"/>
            </w:tcBorders>
            <w:vAlign w:val="center"/>
          </w:tcPr>
          <w:p w14:paraId="2BB7D751">
            <w:pPr>
              <w:ind w:left="120"/>
              <w:rPr>
                <w:rFonts w:ascii="仿宋_GB2312" w:eastAsia="仿宋_GB2312"/>
                <w:sz w:val="24"/>
                <w:szCs w:val="24"/>
              </w:rPr>
            </w:pPr>
            <w:r>
              <w:rPr>
                <w:rFonts w:hint="eastAsia" w:ascii="仿宋_GB2312" w:hAnsi="Calibri" w:eastAsia="仿宋_GB2312" w:cs="Calibri"/>
                <w:sz w:val="24"/>
                <w:szCs w:val="24"/>
              </w:rPr>
              <w:t xml:space="preserve">35 </w:t>
            </w:r>
          </w:p>
        </w:tc>
        <w:tc>
          <w:tcPr>
            <w:tcW w:w="994" w:type="dxa"/>
            <w:tcBorders>
              <w:top w:val="single" w:color="000000" w:sz="4" w:space="0"/>
              <w:left w:val="single" w:color="000000" w:sz="4" w:space="0"/>
              <w:bottom w:val="single" w:color="000000" w:sz="4" w:space="0"/>
              <w:right w:val="single" w:color="000000" w:sz="4" w:space="0"/>
            </w:tcBorders>
            <w:vAlign w:val="center"/>
          </w:tcPr>
          <w:p w14:paraId="2977A11F">
            <w:pPr>
              <w:ind w:right="62"/>
              <w:jc w:val="center"/>
              <w:rPr>
                <w:rFonts w:ascii="仿宋_GB2312" w:eastAsia="仿宋_GB2312"/>
                <w:sz w:val="24"/>
                <w:szCs w:val="24"/>
              </w:rPr>
            </w:pPr>
            <w:r>
              <w:rPr>
                <w:rFonts w:hint="eastAsia" w:ascii="仿宋_GB2312" w:hAnsi="Calibri" w:eastAsia="仿宋_GB2312" w:cs="Calibri"/>
                <w:sz w:val="24"/>
                <w:szCs w:val="24"/>
              </w:rPr>
              <w:t xml:space="preserve">500 </w:t>
            </w:r>
          </w:p>
        </w:tc>
        <w:tc>
          <w:tcPr>
            <w:tcW w:w="1133" w:type="dxa"/>
            <w:tcBorders>
              <w:top w:val="single" w:color="000000" w:sz="4" w:space="0"/>
              <w:left w:val="single" w:color="000000" w:sz="4" w:space="0"/>
              <w:bottom w:val="single" w:color="000000" w:sz="4" w:space="0"/>
              <w:right w:val="single" w:color="000000" w:sz="4" w:space="0"/>
            </w:tcBorders>
            <w:vAlign w:val="center"/>
          </w:tcPr>
          <w:p w14:paraId="1B932BAF">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70C8893E">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2646F96E">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2E7DBC8B">
            <w:pPr>
              <w:ind w:right="55"/>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315C8168">
            <w:pPr>
              <w:ind w:right="57"/>
              <w:jc w:val="center"/>
              <w:rPr>
                <w:rFonts w:ascii="仿宋_GB2312" w:eastAsia="仿宋_GB2312"/>
                <w:sz w:val="24"/>
                <w:szCs w:val="24"/>
              </w:rPr>
            </w:pPr>
            <w:r>
              <w:rPr>
                <w:rFonts w:hint="eastAsia" w:ascii="仿宋_GB2312" w:hAnsi="Calibri" w:eastAsia="仿宋_GB2312" w:cs="Calibri"/>
                <w:sz w:val="24"/>
                <w:szCs w:val="24"/>
              </w:rPr>
              <w:t>NH</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PO</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52225C24">
            <w:pPr>
              <w:ind w:right="56"/>
              <w:jc w:val="center"/>
              <w:rPr>
                <w:rFonts w:ascii="仿宋_GB2312" w:eastAsia="仿宋_GB2312"/>
                <w:sz w:val="24"/>
                <w:szCs w:val="24"/>
              </w:rPr>
            </w:pPr>
            <w:r>
              <w:rPr>
                <w:rFonts w:hint="eastAsia" w:ascii="仿宋_GB2312" w:hAnsi="Calibri" w:eastAsia="仿宋_GB2312" w:cs="Calibri"/>
                <w:sz w:val="24"/>
                <w:szCs w:val="24"/>
              </w:rPr>
              <w:t xml:space="preserve">153 </w:t>
            </w:r>
          </w:p>
        </w:tc>
        <w:tc>
          <w:tcPr>
            <w:tcW w:w="708" w:type="dxa"/>
            <w:tcBorders>
              <w:top w:val="single" w:color="000000" w:sz="4" w:space="0"/>
              <w:left w:val="single" w:color="000000" w:sz="4" w:space="0"/>
              <w:bottom w:val="single" w:color="000000" w:sz="4" w:space="0"/>
              <w:right w:val="single" w:color="000000" w:sz="4" w:space="0"/>
            </w:tcBorders>
            <w:vAlign w:val="center"/>
          </w:tcPr>
          <w:p w14:paraId="1E7D8AE8">
            <w:pPr>
              <w:ind w:left="60"/>
              <w:rPr>
                <w:rFonts w:ascii="仿宋_GB2312" w:eastAsia="仿宋_GB2312"/>
                <w:sz w:val="24"/>
                <w:szCs w:val="24"/>
              </w:rPr>
            </w:pPr>
            <w:r>
              <w:rPr>
                <w:rFonts w:hint="eastAsia" w:ascii="仿宋_GB2312" w:hAnsi="Calibri" w:eastAsia="仿宋_GB2312" w:cs="Calibri"/>
                <w:sz w:val="24"/>
                <w:szCs w:val="24"/>
              </w:rPr>
              <w:t xml:space="preserve">140 </w:t>
            </w:r>
          </w:p>
        </w:tc>
        <w:tc>
          <w:tcPr>
            <w:tcW w:w="994" w:type="dxa"/>
            <w:tcBorders>
              <w:top w:val="single" w:color="000000" w:sz="4" w:space="0"/>
              <w:left w:val="single" w:color="000000" w:sz="4" w:space="0"/>
              <w:bottom w:val="single" w:color="000000" w:sz="4" w:space="0"/>
              <w:right w:val="single" w:color="000000" w:sz="4" w:space="0"/>
            </w:tcBorders>
            <w:vAlign w:val="center"/>
          </w:tcPr>
          <w:p w14:paraId="44BBC646">
            <w:pPr>
              <w:ind w:right="62"/>
              <w:jc w:val="center"/>
              <w:rPr>
                <w:rFonts w:ascii="仿宋_GB2312" w:eastAsia="仿宋_GB2312"/>
                <w:sz w:val="24"/>
                <w:szCs w:val="24"/>
              </w:rPr>
            </w:pPr>
            <w:r>
              <w:rPr>
                <w:rFonts w:hint="eastAsia" w:ascii="仿宋_GB2312" w:hAnsi="Calibri" w:eastAsia="仿宋_GB2312" w:cs="Calibri"/>
                <w:sz w:val="24"/>
                <w:szCs w:val="24"/>
              </w:rPr>
              <w:t xml:space="preserve">250 </w:t>
            </w:r>
          </w:p>
        </w:tc>
        <w:tc>
          <w:tcPr>
            <w:tcW w:w="1133" w:type="dxa"/>
            <w:tcBorders>
              <w:top w:val="single" w:color="000000" w:sz="4" w:space="0"/>
              <w:left w:val="single" w:color="000000" w:sz="4" w:space="0"/>
              <w:bottom w:val="single" w:color="000000" w:sz="4" w:space="0"/>
              <w:right w:val="single" w:color="000000" w:sz="4" w:space="0"/>
            </w:tcBorders>
            <w:vAlign w:val="center"/>
          </w:tcPr>
          <w:p w14:paraId="6FF9E6AF">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53D96359">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341DAAB7">
        <w:tblPrEx>
          <w:tblCellMar>
            <w:top w:w="0" w:type="dxa"/>
            <w:left w:w="113" w:type="dxa"/>
            <w:bottom w:w="8" w:type="dxa"/>
            <w:right w:w="55" w:type="dxa"/>
          </w:tblCellMar>
        </w:tblPrEx>
        <w:trPr>
          <w:trHeight w:val="466" w:hRule="atLeast"/>
        </w:trPr>
        <w:tc>
          <w:tcPr>
            <w:tcW w:w="900" w:type="dxa"/>
            <w:vMerge w:val="restart"/>
            <w:tcBorders>
              <w:top w:val="single" w:color="000000" w:sz="4" w:space="0"/>
              <w:left w:val="single" w:color="000000" w:sz="4" w:space="0"/>
              <w:bottom w:val="nil"/>
              <w:right w:val="single" w:color="000000" w:sz="4" w:space="0"/>
            </w:tcBorders>
            <w:vAlign w:val="center"/>
          </w:tcPr>
          <w:p w14:paraId="746CF262">
            <w:pPr>
              <w:ind w:right="58"/>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p>
        </w:tc>
        <w:tc>
          <w:tcPr>
            <w:tcW w:w="1841" w:type="dxa"/>
            <w:tcBorders>
              <w:top w:val="single" w:color="000000" w:sz="4" w:space="0"/>
              <w:left w:val="single" w:color="000000" w:sz="4" w:space="0"/>
              <w:bottom w:val="single" w:color="000000" w:sz="4" w:space="0"/>
              <w:right w:val="single" w:color="000000" w:sz="4" w:space="0"/>
            </w:tcBorders>
            <w:vAlign w:val="center"/>
          </w:tcPr>
          <w:p w14:paraId="291C3022">
            <w:pPr>
              <w:ind w:right="55"/>
              <w:jc w:val="center"/>
              <w:rPr>
                <w:rFonts w:ascii="仿宋_GB2312" w:eastAsia="仿宋_GB2312"/>
                <w:sz w:val="24"/>
                <w:szCs w:val="24"/>
              </w:rPr>
            </w:pPr>
            <w:r>
              <w:rPr>
                <w:rFonts w:hint="eastAsia" w:ascii="仿宋_GB2312" w:hAnsi="Calibri" w:eastAsia="仿宋_GB2312" w:cs="Calibri"/>
                <w:sz w:val="24"/>
                <w:szCs w:val="24"/>
              </w:rPr>
              <w:t>FeSO</w:t>
            </w:r>
            <w:r>
              <w:rPr>
                <w:rFonts w:hint="eastAsia" w:ascii="仿宋_GB2312" w:hAnsi="Calibri" w:eastAsia="仿宋_GB2312" w:cs="Calibri"/>
                <w:sz w:val="24"/>
                <w:szCs w:val="24"/>
                <w:vertAlign w:val="subscript"/>
              </w:rPr>
              <w:t>4</w:t>
            </w:r>
            <w:r>
              <w:rPr>
                <w:rFonts w:hint="eastAsia"/>
                <w:sz w:val="24"/>
                <w:szCs w:val="24"/>
              </w:rPr>
              <w:t>﹒</w:t>
            </w:r>
            <w:r>
              <w:rPr>
                <w:rFonts w:hint="eastAsia" w:ascii="仿宋_GB2312" w:hAnsi="Calibri" w:eastAsia="仿宋_GB2312" w:cs="Calibri"/>
                <w:sz w:val="24"/>
                <w:szCs w:val="24"/>
              </w:rPr>
              <w:t>7H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000000" w:sz="4" w:space="0"/>
              <w:left w:val="single" w:color="000000" w:sz="4" w:space="0"/>
              <w:bottom w:val="single" w:color="000000" w:sz="4" w:space="0"/>
              <w:right w:val="single" w:color="000000" w:sz="4" w:space="0"/>
            </w:tcBorders>
            <w:vAlign w:val="center"/>
          </w:tcPr>
          <w:p w14:paraId="0959628B">
            <w:pPr>
              <w:ind w:right="57"/>
              <w:jc w:val="center"/>
              <w:rPr>
                <w:rFonts w:ascii="仿宋_GB2312" w:eastAsia="仿宋_GB2312"/>
                <w:sz w:val="24"/>
                <w:szCs w:val="24"/>
              </w:rPr>
            </w:pPr>
            <w:r>
              <w:rPr>
                <w:rFonts w:hint="eastAsia" w:ascii="仿宋_GB2312" w:hAnsi="Calibri" w:eastAsia="仿宋_GB2312" w:cs="Calibri"/>
                <w:sz w:val="24"/>
                <w:szCs w:val="24"/>
              </w:rPr>
              <w:t xml:space="preserve">13.9 </w:t>
            </w:r>
          </w:p>
        </w:tc>
        <w:tc>
          <w:tcPr>
            <w:tcW w:w="708" w:type="dxa"/>
            <w:vMerge w:val="restart"/>
            <w:tcBorders>
              <w:top w:val="single" w:color="000000" w:sz="4" w:space="0"/>
              <w:left w:val="single" w:color="000000" w:sz="4" w:space="0"/>
              <w:bottom w:val="nil"/>
              <w:right w:val="single" w:color="000000" w:sz="4" w:space="0"/>
            </w:tcBorders>
            <w:vAlign w:val="center"/>
          </w:tcPr>
          <w:p w14:paraId="07D4FAB8">
            <w:pPr>
              <w:ind w:left="60"/>
              <w:jc w:val="center"/>
              <w:rPr>
                <w:rFonts w:ascii="仿宋_GB2312" w:eastAsia="仿宋_GB2312"/>
                <w:sz w:val="24"/>
                <w:szCs w:val="24"/>
              </w:rPr>
            </w:pPr>
            <w:r>
              <w:rPr>
                <w:rFonts w:hint="eastAsia" w:ascii="仿宋_GB2312" w:hAnsi="Calibri" w:eastAsia="仿宋_GB2312" w:cs="Calibri"/>
                <w:sz w:val="24"/>
                <w:szCs w:val="24"/>
              </w:rPr>
              <w:t>180</w:t>
            </w:r>
          </w:p>
        </w:tc>
        <w:tc>
          <w:tcPr>
            <w:tcW w:w="994" w:type="dxa"/>
            <w:vMerge w:val="restart"/>
            <w:tcBorders>
              <w:top w:val="single" w:color="000000" w:sz="4" w:space="0"/>
              <w:left w:val="single" w:color="000000" w:sz="4" w:space="0"/>
              <w:bottom w:val="nil"/>
              <w:right w:val="single" w:color="000000" w:sz="4" w:space="0"/>
            </w:tcBorders>
            <w:vAlign w:val="center"/>
          </w:tcPr>
          <w:p w14:paraId="297ED4B1">
            <w:pPr>
              <w:ind w:right="62"/>
              <w:jc w:val="center"/>
              <w:rPr>
                <w:rFonts w:ascii="仿宋_GB2312" w:eastAsia="仿宋_GB2312"/>
                <w:sz w:val="24"/>
                <w:szCs w:val="24"/>
              </w:rPr>
            </w:pPr>
            <w:r>
              <w:rPr>
                <w:rFonts w:hint="eastAsia" w:ascii="仿宋_GB2312" w:hAnsi="Calibri" w:eastAsia="仿宋_GB2312" w:cs="Calibri"/>
                <w:sz w:val="24"/>
                <w:szCs w:val="24"/>
              </w:rPr>
              <w:t>100</w:t>
            </w:r>
          </w:p>
        </w:tc>
        <w:tc>
          <w:tcPr>
            <w:tcW w:w="1133" w:type="dxa"/>
            <w:tcBorders>
              <w:top w:val="single" w:color="000000" w:sz="4" w:space="0"/>
              <w:left w:val="single" w:color="000000" w:sz="4" w:space="0"/>
              <w:bottom w:val="single" w:color="000000" w:sz="4" w:space="0"/>
              <w:right w:val="single" w:color="000000" w:sz="4" w:space="0"/>
            </w:tcBorders>
            <w:vAlign w:val="center"/>
          </w:tcPr>
          <w:p w14:paraId="2CE7EAF5">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3B9B70DD">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0DABDC15">
        <w:tblPrEx>
          <w:tblCellMar>
            <w:top w:w="0" w:type="dxa"/>
            <w:left w:w="113" w:type="dxa"/>
            <w:bottom w:w="8" w:type="dxa"/>
            <w:right w:w="55" w:type="dxa"/>
          </w:tblCellMar>
        </w:tblPrEx>
        <w:trPr>
          <w:trHeight w:val="163" w:hRule="atLeast"/>
        </w:trPr>
        <w:tc>
          <w:tcPr>
            <w:tcW w:w="0" w:type="auto"/>
            <w:vMerge w:val="continue"/>
            <w:tcBorders>
              <w:top w:val="nil"/>
              <w:left w:val="single" w:color="000000" w:sz="4" w:space="0"/>
              <w:bottom w:val="single" w:color="auto" w:sz="4" w:space="0"/>
              <w:right w:val="single" w:color="000000" w:sz="4" w:space="0"/>
            </w:tcBorders>
          </w:tcPr>
          <w:p w14:paraId="5E6C1973">
            <w:pPr>
              <w:spacing w:after="160"/>
              <w:rPr>
                <w:rFonts w:ascii="仿宋_GB2312" w:eastAsia="仿宋_GB2312"/>
                <w:sz w:val="24"/>
                <w:szCs w:val="24"/>
              </w:rPr>
            </w:pPr>
          </w:p>
        </w:tc>
        <w:tc>
          <w:tcPr>
            <w:tcW w:w="1841" w:type="dxa"/>
            <w:tcBorders>
              <w:top w:val="single" w:color="000000" w:sz="4" w:space="0"/>
              <w:left w:val="single" w:color="000000" w:sz="4" w:space="0"/>
              <w:bottom w:val="single" w:color="auto" w:sz="4" w:space="0"/>
              <w:right w:val="single" w:color="000000" w:sz="4" w:space="0"/>
            </w:tcBorders>
            <w:vAlign w:val="center"/>
          </w:tcPr>
          <w:p w14:paraId="42D6ED57">
            <w:pPr>
              <w:ind w:right="56"/>
              <w:jc w:val="center"/>
              <w:rPr>
                <w:rFonts w:ascii="仿宋_GB2312" w:eastAsia="仿宋_GB2312"/>
                <w:sz w:val="24"/>
                <w:szCs w:val="24"/>
              </w:rPr>
            </w:pPr>
            <w:r>
              <w:rPr>
                <w:rFonts w:hint="eastAsia" w:ascii="仿宋_GB2312" w:hAnsi="Calibri" w:eastAsia="仿宋_GB2312" w:cs="Calibri"/>
                <w:sz w:val="24"/>
                <w:szCs w:val="24"/>
              </w:rPr>
              <w:t>Na</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-EDTA</w:t>
            </w:r>
          </w:p>
        </w:tc>
        <w:tc>
          <w:tcPr>
            <w:tcW w:w="1702" w:type="dxa"/>
            <w:tcBorders>
              <w:top w:val="single" w:color="000000" w:sz="4" w:space="0"/>
              <w:left w:val="single" w:color="000000" w:sz="4" w:space="0"/>
              <w:bottom w:val="single" w:color="auto" w:sz="4" w:space="0"/>
              <w:right w:val="single" w:color="000000" w:sz="4" w:space="0"/>
            </w:tcBorders>
            <w:vAlign w:val="center"/>
          </w:tcPr>
          <w:p w14:paraId="3073D461">
            <w:pPr>
              <w:ind w:right="57"/>
              <w:jc w:val="center"/>
              <w:rPr>
                <w:rFonts w:ascii="仿宋_GB2312" w:eastAsia="仿宋_GB2312"/>
                <w:sz w:val="24"/>
                <w:szCs w:val="24"/>
              </w:rPr>
            </w:pPr>
            <w:r>
              <w:rPr>
                <w:rFonts w:hint="eastAsia" w:ascii="仿宋_GB2312" w:hAnsi="Calibri" w:eastAsia="仿宋_GB2312" w:cs="Calibri"/>
                <w:sz w:val="24"/>
                <w:szCs w:val="24"/>
              </w:rPr>
              <w:t>18.6</w:t>
            </w:r>
          </w:p>
        </w:tc>
        <w:tc>
          <w:tcPr>
            <w:tcW w:w="0" w:type="auto"/>
            <w:vMerge w:val="continue"/>
            <w:tcBorders>
              <w:top w:val="nil"/>
              <w:left w:val="single" w:color="000000" w:sz="4" w:space="0"/>
              <w:bottom w:val="single" w:color="auto" w:sz="4" w:space="0"/>
              <w:right w:val="single" w:color="000000" w:sz="4" w:space="0"/>
            </w:tcBorders>
          </w:tcPr>
          <w:p w14:paraId="7107A967">
            <w:pPr>
              <w:spacing w:after="160"/>
              <w:rPr>
                <w:rFonts w:ascii="仿宋_GB2312" w:eastAsia="仿宋_GB2312"/>
                <w:sz w:val="24"/>
                <w:szCs w:val="24"/>
              </w:rPr>
            </w:pPr>
          </w:p>
        </w:tc>
        <w:tc>
          <w:tcPr>
            <w:tcW w:w="0" w:type="auto"/>
            <w:vMerge w:val="continue"/>
            <w:tcBorders>
              <w:top w:val="nil"/>
              <w:left w:val="single" w:color="000000" w:sz="4" w:space="0"/>
              <w:bottom w:val="single" w:color="auto" w:sz="4" w:space="0"/>
              <w:right w:val="single" w:color="000000" w:sz="4" w:space="0"/>
            </w:tcBorders>
          </w:tcPr>
          <w:p w14:paraId="73032F20">
            <w:pPr>
              <w:spacing w:after="160"/>
              <w:rPr>
                <w:rFonts w:ascii="仿宋_GB2312" w:eastAsia="仿宋_GB2312"/>
                <w:sz w:val="24"/>
                <w:szCs w:val="24"/>
              </w:rPr>
            </w:pPr>
          </w:p>
        </w:tc>
        <w:tc>
          <w:tcPr>
            <w:tcW w:w="1133" w:type="dxa"/>
            <w:tcBorders>
              <w:top w:val="single" w:color="000000" w:sz="4" w:space="0"/>
              <w:left w:val="single" w:color="000000" w:sz="4" w:space="0"/>
              <w:bottom w:val="single" w:color="auto" w:sz="4" w:space="0"/>
              <w:right w:val="single" w:color="000000" w:sz="4" w:space="0"/>
            </w:tcBorders>
          </w:tcPr>
          <w:p w14:paraId="0AECB2FE">
            <w:pPr>
              <w:spacing w:after="160"/>
              <w:rPr>
                <w:rFonts w:ascii="仿宋_GB2312" w:eastAsia="仿宋_GB2312"/>
                <w:sz w:val="24"/>
                <w:szCs w:val="24"/>
              </w:rPr>
            </w:pPr>
          </w:p>
        </w:tc>
        <w:tc>
          <w:tcPr>
            <w:tcW w:w="1280" w:type="dxa"/>
            <w:tcBorders>
              <w:top w:val="single" w:color="000000" w:sz="4" w:space="0"/>
              <w:left w:val="single" w:color="000000" w:sz="4" w:space="0"/>
              <w:bottom w:val="single" w:color="auto" w:sz="4" w:space="0"/>
              <w:right w:val="single" w:color="000000" w:sz="4" w:space="0"/>
            </w:tcBorders>
          </w:tcPr>
          <w:p w14:paraId="0C079A3B">
            <w:pPr>
              <w:spacing w:after="160"/>
              <w:rPr>
                <w:rFonts w:ascii="仿宋_GB2312" w:eastAsia="仿宋_GB2312"/>
                <w:sz w:val="24"/>
                <w:szCs w:val="24"/>
              </w:rPr>
            </w:pPr>
          </w:p>
        </w:tc>
      </w:tr>
    </w:tbl>
    <w:p w14:paraId="1243BA40">
      <w:pPr>
        <w:spacing w:before="312" w:beforeLines="100" w:after="312" w:afterLines="100"/>
        <w:ind w:left="-6" w:hanging="11"/>
        <w:rPr>
          <w:rFonts w:ascii="仿宋_GB2312" w:eastAsia="仿宋_GB2312"/>
          <w:b/>
          <w:sz w:val="30"/>
        </w:rPr>
      </w:pPr>
      <w:r>
        <w:rPr>
          <w:rFonts w:ascii="仿宋_GB2312" w:eastAsia="仿宋_GB2312"/>
          <w:b/>
          <w:sz w:val="30"/>
        </w:rPr>
        <w:t xml:space="preserve">二、工作液配制 </w:t>
      </w:r>
    </w:p>
    <w:tbl>
      <w:tblPr>
        <w:tblStyle w:val="11"/>
        <w:tblW w:w="8529" w:type="dxa"/>
        <w:tblInd w:w="-108" w:type="dxa"/>
        <w:tblLayout w:type="autofit"/>
        <w:tblCellMar>
          <w:top w:w="36" w:type="dxa"/>
          <w:left w:w="108" w:type="dxa"/>
          <w:bottom w:w="0" w:type="dxa"/>
          <w:right w:w="17" w:type="dxa"/>
        </w:tblCellMar>
      </w:tblPr>
      <w:tblGrid>
        <w:gridCol w:w="1682"/>
        <w:gridCol w:w="2235"/>
        <w:gridCol w:w="1724"/>
        <w:gridCol w:w="1549"/>
        <w:gridCol w:w="1339"/>
      </w:tblGrid>
      <w:tr w14:paraId="510A7A93">
        <w:tblPrEx>
          <w:tblCellMar>
            <w:top w:w="36" w:type="dxa"/>
            <w:left w:w="108" w:type="dxa"/>
            <w:bottom w:w="0" w:type="dxa"/>
            <w:right w:w="17" w:type="dxa"/>
          </w:tblCellMar>
        </w:tblPrEx>
        <w:trPr>
          <w:trHeight w:val="554"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79E3A6CC">
            <w:pPr>
              <w:ind w:right="89"/>
              <w:jc w:val="center"/>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2235" w:type="dxa"/>
            <w:tcBorders>
              <w:top w:val="single" w:color="000000" w:sz="4" w:space="0"/>
              <w:left w:val="single" w:color="000000" w:sz="4" w:space="0"/>
              <w:bottom w:val="single" w:color="000000" w:sz="4" w:space="0"/>
              <w:right w:val="single" w:color="000000" w:sz="4" w:space="0"/>
            </w:tcBorders>
            <w:vAlign w:val="center"/>
          </w:tcPr>
          <w:p w14:paraId="587FC1B0">
            <w:pPr>
              <w:jc w:val="center"/>
              <w:rPr>
                <w:rFonts w:ascii="仿宋_GB2312" w:eastAsia="仿宋_GB2312"/>
                <w:sz w:val="24"/>
                <w:szCs w:val="24"/>
              </w:rPr>
            </w:pPr>
            <w:r>
              <w:rPr>
                <w:rFonts w:hint="eastAsia" w:ascii="仿宋_GB2312" w:eastAsia="仿宋_GB2312"/>
                <w:sz w:val="24"/>
                <w:szCs w:val="24"/>
              </w:rPr>
              <w:t>配制工作液体积（</w:t>
            </w:r>
            <w:r>
              <w:rPr>
                <w:rFonts w:hint="eastAsia" w:ascii="仿宋_GB2312" w:hAnsi="Calibri" w:eastAsia="仿宋_GB2312" w:cs="Calibri"/>
                <w:sz w:val="24"/>
                <w:szCs w:val="24"/>
              </w:rPr>
              <w:t>ml</w:t>
            </w:r>
            <w:r>
              <w:rPr>
                <w:rFonts w:hint="eastAsia" w:ascii="仿宋_GB2312" w:eastAsia="仿宋_GB2312"/>
                <w:sz w:val="24"/>
                <w:szCs w:val="24"/>
              </w:rPr>
              <w:t>）</w:t>
            </w:r>
          </w:p>
        </w:tc>
        <w:tc>
          <w:tcPr>
            <w:tcW w:w="1724" w:type="dxa"/>
            <w:tcBorders>
              <w:top w:val="single" w:color="000000" w:sz="4" w:space="0"/>
              <w:left w:val="single" w:color="000000" w:sz="4" w:space="0"/>
              <w:bottom w:val="single" w:color="000000" w:sz="4" w:space="0"/>
              <w:right w:val="single" w:color="000000" w:sz="4" w:space="0"/>
            </w:tcBorders>
            <w:vAlign w:val="center"/>
          </w:tcPr>
          <w:p w14:paraId="0A6F8C64">
            <w:pPr>
              <w:ind w:right="94"/>
              <w:jc w:val="center"/>
              <w:rPr>
                <w:rFonts w:ascii="仿宋_GB2312" w:eastAsia="仿宋_GB2312"/>
                <w:sz w:val="24"/>
                <w:szCs w:val="24"/>
              </w:rPr>
            </w:pPr>
            <w:r>
              <w:rPr>
                <w:rFonts w:hint="eastAsia" w:ascii="仿宋_GB2312" w:eastAsia="仿宋_GB2312"/>
                <w:sz w:val="24"/>
                <w:szCs w:val="24"/>
              </w:rPr>
              <w:t>配制剂量</w:t>
            </w:r>
            <w:r>
              <w:rPr>
                <w:rFonts w:hint="eastAsia" w:ascii="仿宋_GB2312" w:hAnsi="Calibri" w:eastAsia="仿宋_GB2312" w:cs="Calibri"/>
                <w:sz w:val="24"/>
                <w:szCs w:val="24"/>
              </w:rPr>
              <w:t xml:space="preserve"> </w:t>
            </w:r>
          </w:p>
        </w:tc>
        <w:tc>
          <w:tcPr>
            <w:tcW w:w="1549" w:type="dxa"/>
            <w:tcBorders>
              <w:top w:val="single" w:color="000000" w:sz="4" w:space="0"/>
              <w:left w:val="single" w:color="000000" w:sz="4" w:space="0"/>
              <w:bottom w:val="single" w:color="000000" w:sz="4" w:space="0"/>
              <w:right w:val="single" w:color="000000" w:sz="4" w:space="0"/>
            </w:tcBorders>
          </w:tcPr>
          <w:p w14:paraId="0E91FAE9">
            <w:pPr>
              <w:spacing w:after="27"/>
              <w:ind w:left="245"/>
              <w:rPr>
                <w:rFonts w:ascii="仿宋_GB2312" w:eastAsia="仿宋_GB2312"/>
                <w:sz w:val="24"/>
                <w:szCs w:val="24"/>
              </w:rPr>
            </w:pPr>
            <w:r>
              <w:rPr>
                <w:rFonts w:hint="eastAsia" w:ascii="仿宋_GB2312" w:eastAsia="仿宋_GB2312"/>
                <w:sz w:val="24"/>
                <w:szCs w:val="24"/>
              </w:rPr>
              <w:t>理论移取</w:t>
            </w:r>
            <w:r>
              <w:rPr>
                <w:rFonts w:hint="eastAsia" w:ascii="仿宋_GB2312" w:hAnsi="Calibri" w:eastAsia="仿宋_GB2312" w:cs="Calibri"/>
                <w:sz w:val="24"/>
                <w:szCs w:val="24"/>
              </w:rPr>
              <w:t xml:space="preserve"> </w:t>
            </w:r>
          </w:p>
          <w:p w14:paraId="29203B3B">
            <w:pPr>
              <w:ind w:right="92"/>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 xml:space="preserve">(ml) </w:t>
            </w:r>
          </w:p>
        </w:tc>
        <w:tc>
          <w:tcPr>
            <w:tcW w:w="1339" w:type="dxa"/>
            <w:tcBorders>
              <w:top w:val="single" w:color="000000" w:sz="4" w:space="0"/>
              <w:left w:val="single" w:color="000000" w:sz="4" w:space="0"/>
              <w:bottom w:val="single" w:color="000000" w:sz="4" w:space="0"/>
              <w:right w:val="single" w:color="000000" w:sz="4" w:space="0"/>
            </w:tcBorders>
          </w:tcPr>
          <w:p w14:paraId="29B34A36">
            <w:pPr>
              <w:spacing w:after="27"/>
              <w:ind w:left="142"/>
              <w:rPr>
                <w:rFonts w:ascii="仿宋_GB2312" w:eastAsia="仿宋_GB2312"/>
                <w:sz w:val="24"/>
                <w:szCs w:val="24"/>
              </w:rPr>
            </w:pPr>
            <w:r>
              <w:rPr>
                <w:rFonts w:hint="eastAsia" w:ascii="仿宋_GB2312" w:eastAsia="仿宋_GB2312"/>
                <w:sz w:val="24"/>
                <w:szCs w:val="24"/>
              </w:rPr>
              <w:t>实际移取</w:t>
            </w:r>
            <w:r>
              <w:rPr>
                <w:rFonts w:hint="eastAsia" w:ascii="仿宋_GB2312" w:hAnsi="Calibri" w:eastAsia="仿宋_GB2312" w:cs="Calibri"/>
                <w:sz w:val="24"/>
                <w:szCs w:val="24"/>
              </w:rPr>
              <w:t xml:space="preserve"> </w:t>
            </w:r>
          </w:p>
          <w:p w14:paraId="2D93F84B">
            <w:pPr>
              <w:ind w:left="74"/>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(ml)</w:t>
            </w:r>
          </w:p>
        </w:tc>
      </w:tr>
      <w:tr w14:paraId="131B1812">
        <w:tblPrEx>
          <w:tblCellMar>
            <w:top w:w="36"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0857ADED">
            <w:pPr>
              <w:ind w:right="91"/>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2235" w:type="dxa"/>
            <w:vMerge w:val="restart"/>
            <w:tcBorders>
              <w:top w:val="single" w:color="000000" w:sz="4" w:space="0"/>
              <w:left w:val="single" w:color="000000" w:sz="4" w:space="0"/>
              <w:bottom w:val="single" w:color="000000" w:sz="4" w:space="0"/>
              <w:right w:val="single" w:color="000000" w:sz="4" w:space="0"/>
            </w:tcBorders>
            <w:vAlign w:val="center"/>
          </w:tcPr>
          <w:p w14:paraId="1C24D119">
            <w:pPr>
              <w:ind w:right="89"/>
              <w:jc w:val="center"/>
              <w:rPr>
                <w:rFonts w:ascii="仿宋_GB2312" w:eastAsia="仿宋_GB2312"/>
                <w:sz w:val="24"/>
                <w:szCs w:val="24"/>
              </w:rPr>
            </w:pPr>
            <w:r>
              <w:rPr>
                <w:rFonts w:hint="eastAsia" w:ascii="仿宋_GB2312" w:hAnsi="Calibri" w:eastAsia="仿宋_GB2312" w:cs="Calibri"/>
                <w:sz w:val="24"/>
                <w:szCs w:val="24"/>
              </w:rPr>
              <w:t xml:space="preserve">1000 </w:t>
            </w:r>
          </w:p>
        </w:tc>
        <w:tc>
          <w:tcPr>
            <w:tcW w:w="1724" w:type="dxa"/>
            <w:tcBorders>
              <w:top w:val="single" w:color="000000" w:sz="4" w:space="0"/>
              <w:left w:val="single" w:color="000000" w:sz="4" w:space="0"/>
              <w:bottom w:val="single" w:color="000000" w:sz="4" w:space="0"/>
              <w:right w:val="single" w:color="000000" w:sz="4" w:space="0"/>
            </w:tcBorders>
          </w:tcPr>
          <w:p w14:paraId="24261EE0">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1</m:t>
                    </m:r>
                    <m:ctrlPr>
                      <w:rPr>
                        <w:rFonts w:hint="eastAsia" w:ascii="Cambria Math" w:hAnsi="Cambria Math" w:eastAsia="仿宋_GB2312"/>
                        <w:sz w:val="24"/>
                        <w:szCs w:val="24"/>
                      </w:rPr>
                    </m:ctrlPr>
                  </m:num>
                  <m:den>
                    <m:r>
                      <m:rPr/>
                      <w:rPr>
                        <w:rFonts w:hint="eastAsia" w:ascii="Cambria Math" w:hAnsi="Cambria Math" w:eastAsia="仿宋_GB2312"/>
                        <w:sz w:val="24"/>
                        <w:szCs w:val="24"/>
                      </w:rPr>
                      <m:t>8</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43C57BC2">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5A5EE9A6">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3AC522F6">
        <w:tblPrEx>
          <w:tblCellMar>
            <w:top w:w="36"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4E258BCD">
            <w:pPr>
              <w:ind w:right="89"/>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nil"/>
              <w:right w:val="single" w:color="000000" w:sz="4" w:space="0"/>
            </w:tcBorders>
          </w:tcPr>
          <w:p w14:paraId="56CA41C9">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2641F02F">
            <w:pPr>
              <w:rPr>
                <w:rFonts w:ascii="仿宋_GB2312" w:eastAsia="仿宋_GB2312"/>
                <w:sz w:val="24"/>
                <w:szCs w:val="24"/>
              </w:rPr>
            </w:pPr>
            <m:oMathPara>
              <m:oMathParaPr>
                <m:jc m:val="center"/>
              </m:oMathParaPr>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2</m:t>
                    </m:r>
                    <m:ctrlPr>
                      <w:rPr>
                        <w:rFonts w:hint="eastAsia" w:ascii="Cambria Math" w:hAnsi="Cambria Math" w:eastAsia="仿宋_GB2312"/>
                        <w:sz w:val="24"/>
                        <w:szCs w:val="24"/>
                      </w:rPr>
                    </m:ctrlPr>
                  </m:num>
                  <m:den>
                    <m:r>
                      <m:rPr/>
                      <w:rPr>
                        <w:rFonts w:hint="eastAsia" w:ascii="Cambria Math" w:hAnsi="Cambria Math" w:eastAsia="仿宋_GB2312"/>
                        <w:sz w:val="24"/>
                        <w:szCs w:val="24"/>
                      </w:rPr>
                      <m:t>7</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207CC112">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788EFE97">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4CCA9355">
        <w:tblPrEx>
          <w:tblCellMar>
            <w:top w:w="36" w:type="dxa"/>
            <w:left w:w="108" w:type="dxa"/>
            <w:bottom w:w="0" w:type="dxa"/>
            <w:right w:w="17" w:type="dxa"/>
          </w:tblCellMar>
        </w:tblPrEx>
        <w:trPr>
          <w:trHeight w:val="653"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5AFBF335">
            <w:pPr>
              <w:ind w:right="91"/>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single" w:color="000000" w:sz="4" w:space="0"/>
              <w:right w:val="single" w:color="000000" w:sz="4" w:space="0"/>
            </w:tcBorders>
          </w:tcPr>
          <w:p w14:paraId="5A52E3D7">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454D2E1E">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1</m:t>
                    </m:r>
                    <m:ctrlPr>
                      <w:rPr>
                        <w:rFonts w:hint="eastAsia" w:ascii="Cambria Math" w:hAnsi="Cambria Math" w:eastAsia="仿宋_GB2312"/>
                        <w:sz w:val="24"/>
                        <w:szCs w:val="24"/>
                      </w:rPr>
                    </m:ctrlPr>
                  </m:num>
                  <m:den>
                    <m:r>
                      <m:rPr/>
                      <w:rPr>
                        <w:rFonts w:hint="eastAsia" w:ascii="Cambria Math" w:hAnsi="Cambria Math" w:eastAsia="仿宋_GB2312"/>
                        <w:sz w:val="24"/>
                        <w:szCs w:val="24"/>
                      </w:rPr>
                      <m:t>3</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5C31F6F3">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60DE79F7">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bl>
    <w:p w14:paraId="2E1E8EB6">
      <w:pPr>
        <w:spacing w:before="312" w:beforeLines="100" w:after="312" w:afterLines="100"/>
        <w:ind w:left="-6" w:hanging="11"/>
        <w:rPr>
          <w:rFonts w:ascii="仿宋_GB2312" w:eastAsia="仿宋_GB2312"/>
          <w:b/>
          <w:sz w:val="30"/>
        </w:rPr>
      </w:pPr>
      <w:r>
        <w:rPr>
          <w:rFonts w:ascii="仿宋_GB2312" w:eastAsia="仿宋_GB2312"/>
          <w:b/>
          <w:sz w:val="30"/>
        </w:rPr>
        <w:t>实际操作结束时间（根据现场钟表填写）</w:t>
      </w:r>
      <w:r>
        <w:rPr>
          <w:rFonts w:hint="eastAsia" w:ascii="仿宋_GB2312" w:eastAsia="仿宋_GB2312"/>
          <w:b/>
          <w:sz w:val="30"/>
        </w:rPr>
        <w:t>：</w:t>
      </w:r>
    </w:p>
    <w:p w14:paraId="44FE4E2F">
      <w:pPr>
        <w:ind w:left="-5"/>
      </w:pPr>
    </w:p>
    <w:p w14:paraId="5D1F811D">
      <w:pPr>
        <w:ind w:left="-5"/>
      </w:pPr>
    </w:p>
    <w:p w14:paraId="17D0D16F">
      <w:pPr>
        <w:spacing w:after="188"/>
        <w:jc w:val="center"/>
        <w:rPr>
          <w:rFonts w:hint="eastAsia" w:ascii="方正小标宋简体" w:eastAsia="方正小标宋简体"/>
          <w:sz w:val="36"/>
        </w:rPr>
      </w:pPr>
    </w:p>
    <w:p w14:paraId="59771112">
      <w:pPr>
        <w:spacing w:after="188"/>
        <w:jc w:val="center"/>
        <w:rPr>
          <w:rFonts w:ascii="方正小标宋简体" w:eastAsia="方正小标宋简体"/>
        </w:rPr>
      </w:pPr>
      <w:r>
        <w:rPr>
          <w:rFonts w:hint="eastAsia" w:ascii="方正小标宋简体" w:eastAsia="方正小标宋简体"/>
          <w:sz w:val="36"/>
          <w:lang w:val="en-US" w:eastAsia="zh-CN"/>
        </w:rPr>
        <w:t>2025年河北省</w:t>
      </w:r>
      <w:r>
        <w:rPr>
          <w:rFonts w:hint="eastAsia" w:ascii="方正小标宋简体" w:eastAsia="方正小标宋简体"/>
          <w:sz w:val="36"/>
        </w:rPr>
        <w:t>职业院校技能大赛植物嫁接赛项</w:t>
      </w:r>
    </w:p>
    <w:p w14:paraId="1A7A73EC">
      <w:pPr>
        <w:spacing w:after="188"/>
        <w:jc w:val="center"/>
        <w:rPr>
          <w:rFonts w:ascii="方正小标宋简体" w:eastAsia="方正小标宋简体"/>
          <w:sz w:val="36"/>
        </w:rPr>
      </w:pPr>
      <w:r>
        <w:rPr>
          <w:rFonts w:ascii="方正小标宋简体" w:eastAsia="方正小标宋简体"/>
          <w:sz w:val="36"/>
        </w:rPr>
        <w:t>营养液配制操作试题（</w:t>
      </w:r>
      <w:r>
        <w:rPr>
          <w:rFonts w:hint="eastAsia" w:ascii="方正小标宋简体" w:eastAsia="方正小标宋简体"/>
          <w:sz w:val="36"/>
        </w:rPr>
        <w:t>三</w:t>
      </w:r>
      <w:r>
        <w:rPr>
          <w:rFonts w:ascii="方正小标宋简体" w:eastAsia="方正小标宋简体"/>
          <w:sz w:val="36"/>
        </w:rPr>
        <w:t>）</w:t>
      </w:r>
    </w:p>
    <w:p w14:paraId="3B9C92E1">
      <w:pPr>
        <w:spacing w:before="312" w:beforeLines="100" w:after="312" w:afterLines="100"/>
        <w:ind w:left="-6" w:hanging="11"/>
        <w:rPr>
          <w:rFonts w:ascii="仿宋_GB2312" w:eastAsia="仿宋_GB2312"/>
          <w:b/>
          <w:sz w:val="30"/>
        </w:rPr>
      </w:pPr>
      <w:r>
        <w:rPr>
          <w:rFonts w:ascii="仿宋_GB2312" w:eastAsia="仿宋_GB2312"/>
          <w:b/>
          <w:sz w:val="30"/>
        </w:rPr>
        <w:t>工位号：                    分数：</w:t>
      </w:r>
    </w:p>
    <w:p w14:paraId="149180FD">
      <w:pPr>
        <w:spacing w:before="312" w:beforeLines="100" w:after="312" w:afterLines="100"/>
        <w:ind w:left="-6" w:hanging="11"/>
        <w:rPr>
          <w:rFonts w:ascii="仿宋_GB2312" w:eastAsia="仿宋_GB2312"/>
          <w:b/>
          <w:sz w:val="30"/>
        </w:rPr>
      </w:pPr>
      <w:r>
        <w:rPr>
          <w:rFonts w:ascii="仿宋_GB2312" w:eastAsia="仿宋_GB2312"/>
          <w:b/>
          <w:sz w:val="30"/>
        </w:rPr>
        <w:t xml:space="preserve">一、母液配制 </w:t>
      </w:r>
    </w:p>
    <w:tbl>
      <w:tblPr>
        <w:tblStyle w:val="11"/>
        <w:tblW w:w="8558" w:type="dxa"/>
        <w:tblInd w:w="-122" w:type="dxa"/>
        <w:tblLayout w:type="autofit"/>
        <w:tblCellMar>
          <w:top w:w="0" w:type="dxa"/>
          <w:left w:w="113" w:type="dxa"/>
          <w:bottom w:w="8" w:type="dxa"/>
          <w:right w:w="55" w:type="dxa"/>
        </w:tblCellMar>
      </w:tblPr>
      <w:tblGrid>
        <w:gridCol w:w="900"/>
        <w:gridCol w:w="1841"/>
        <w:gridCol w:w="1702"/>
        <w:gridCol w:w="708"/>
        <w:gridCol w:w="994"/>
        <w:gridCol w:w="1133"/>
        <w:gridCol w:w="1280"/>
      </w:tblGrid>
      <w:tr w14:paraId="11A3D00E">
        <w:tblPrEx>
          <w:tblCellMar>
            <w:top w:w="0" w:type="dxa"/>
            <w:left w:w="113" w:type="dxa"/>
            <w:bottom w:w="8" w:type="dxa"/>
            <w:right w:w="55" w:type="dxa"/>
          </w:tblCellMar>
        </w:tblPrEx>
        <w:trPr>
          <w:trHeight w:val="812"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6C89F54F">
            <w:pPr>
              <w:ind w:left="127"/>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1228EE86">
            <w:pPr>
              <w:ind w:right="56"/>
              <w:jc w:val="center"/>
              <w:rPr>
                <w:rFonts w:ascii="仿宋_GB2312" w:eastAsia="仿宋_GB2312"/>
                <w:sz w:val="24"/>
                <w:szCs w:val="24"/>
              </w:rPr>
            </w:pPr>
            <w:r>
              <w:rPr>
                <w:rFonts w:hint="eastAsia" w:ascii="仿宋_GB2312" w:eastAsia="仿宋_GB2312"/>
                <w:sz w:val="24"/>
                <w:szCs w:val="24"/>
              </w:rPr>
              <w:t>成份</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12077D27">
            <w:pPr>
              <w:ind w:left="36"/>
              <w:jc w:val="center"/>
              <w:rPr>
                <w:rFonts w:ascii="仿宋_GB2312" w:eastAsia="仿宋_GB2312"/>
                <w:sz w:val="24"/>
                <w:szCs w:val="24"/>
              </w:rPr>
            </w:pPr>
            <w:r>
              <w:rPr>
                <w:rFonts w:hint="eastAsia" w:ascii="仿宋_GB2312" w:eastAsia="仿宋_GB2312"/>
                <w:sz w:val="24"/>
                <w:szCs w:val="24"/>
              </w:rPr>
              <w:t>标准用量</w:t>
            </w:r>
            <w:r>
              <w:rPr>
                <w:rFonts w:hint="eastAsia" w:ascii="仿宋_GB2312" w:hAnsi="Calibri" w:eastAsia="仿宋_GB2312" w:cs="Calibri"/>
                <w:sz w:val="24"/>
                <w:szCs w:val="24"/>
              </w:rPr>
              <w:t>(mg/L)</w:t>
            </w:r>
          </w:p>
        </w:tc>
        <w:tc>
          <w:tcPr>
            <w:tcW w:w="708" w:type="dxa"/>
            <w:tcBorders>
              <w:top w:val="single" w:color="000000" w:sz="4" w:space="0"/>
              <w:left w:val="single" w:color="000000" w:sz="4" w:space="0"/>
              <w:bottom w:val="single" w:color="000000" w:sz="4" w:space="0"/>
              <w:right w:val="single" w:color="000000" w:sz="4" w:space="0"/>
            </w:tcBorders>
            <w:vAlign w:val="center"/>
          </w:tcPr>
          <w:p w14:paraId="4DE1230D">
            <w:pPr>
              <w:jc w:val="center"/>
              <w:rPr>
                <w:rFonts w:ascii="仿宋_GB2312" w:eastAsia="仿宋_GB2312"/>
                <w:sz w:val="24"/>
                <w:szCs w:val="24"/>
              </w:rPr>
            </w:pPr>
            <w:r>
              <w:rPr>
                <w:rFonts w:hint="eastAsia" w:ascii="仿宋_GB2312" w:eastAsia="仿宋_GB2312"/>
                <w:sz w:val="24"/>
                <w:szCs w:val="24"/>
              </w:rPr>
              <w:t>浓缩倍数</w:t>
            </w:r>
            <w:r>
              <w:rPr>
                <w:rFonts w:hint="eastAsia" w:ascii="仿宋_GB2312" w:hAnsi="Calibri" w:eastAsia="仿宋_GB2312" w:cs="Calibri"/>
                <w:sz w:val="24"/>
                <w:szCs w:val="24"/>
              </w:rPr>
              <w:t xml:space="preserve"> </w:t>
            </w:r>
          </w:p>
        </w:tc>
        <w:tc>
          <w:tcPr>
            <w:tcW w:w="994" w:type="dxa"/>
            <w:tcBorders>
              <w:top w:val="single" w:color="000000" w:sz="4" w:space="0"/>
              <w:left w:val="single" w:color="000000" w:sz="4" w:space="0"/>
              <w:bottom w:val="single" w:color="000000" w:sz="4" w:space="0"/>
              <w:right w:val="single" w:color="000000" w:sz="4" w:space="0"/>
            </w:tcBorders>
          </w:tcPr>
          <w:p w14:paraId="7B053EB0">
            <w:pPr>
              <w:spacing w:line="255" w:lineRule="auto"/>
              <w:jc w:val="center"/>
              <w:rPr>
                <w:rFonts w:ascii="仿宋_GB2312" w:eastAsia="仿宋_GB2312"/>
                <w:sz w:val="24"/>
                <w:szCs w:val="24"/>
              </w:rPr>
            </w:pPr>
            <w:r>
              <w:rPr>
                <w:rFonts w:hint="eastAsia" w:ascii="仿宋_GB2312" w:eastAsia="仿宋_GB2312"/>
                <w:sz w:val="24"/>
                <w:szCs w:val="24"/>
              </w:rPr>
              <w:t>配制母液体积</w:t>
            </w:r>
          </w:p>
          <w:p w14:paraId="57D57835">
            <w:pPr>
              <w:ind w:right="58"/>
              <w:jc w:val="center"/>
              <w:rPr>
                <w:rFonts w:ascii="仿宋_GB2312" w:eastAsia="仿宋_GB2312"/>
                <w:sz w:val="24"/>
                <w:szCs w:val="24"/>
              </w:rPr>
            </w:pPr>
            <w:r>
              <w:rPr>
                <w:rFonts w:hint="eastAsia" w:ascii="仿宋_GB2312" w:hAnsi="Calibri" w:eastAsia="仿宋_GB2312" w:cs="Calibri"/>
                <w:sz w:val="24"/>
                <w:szCs w:val="24"/>
              </w:rPr>
              <w:t xml:space="preserve">(ml) </w:t>
            </w:r>
          </w:p>
        </w:tc>
        <w:tc>
          <w:tcPr>
            <w:tcW w:w="1133" w:type="dxa"/>
            <w:tcBorders>
              <w:top w:val="single" w:color="000000" w:sz="4" w:space="0"/>
              <w:left w:val="single" w:color="000000" w:sz="4" w:space="0"/>
              <w:bottom w:val="single" w:color="000000" w:sz="4" w:space="0"/>
              <w:right w:val="single" w:color="000000" w:sz="4" w:space="0"/>
            </w:tcBorders>
            <w:vAlign w:val="center"/>
          </w:tcPr>
          <w:p w14:paraId="4599A6C2">
            <w:pPr>
              <w:jc w:val="center"/>
              <w:rPr>
                <w:rFonts w:ascii="仿宋_GB2312" w:eastAsia="仿宋_GB2312"/>
                <w:sz w:val="24"/>
                <w:szCs w:val="24"/>
              </w:rPr>
            </w:pPr>
            <w:r>
              <w:rPr>
                <w:rFonts w:hint="eastAsia" w:ascii="仿宋_GB2312" w:eastAsia="仿宋_GB2312"/>
                <w:sz w:val="24"/>
                <w:szCs w:val="24"/>
              </w:rPr>
              <w:t>理论计算值</w:t>
            </w:r>
            <w:r>
              <w:rPr>
                <w:rFonts w:hint="eastAsia" w:ascii="仿宋_GB2312" w:hAnsi="Calibri" w:eastAsia="仿宋_GB2312" w:cs="Calibri"/>
                <w:sz w:val="24"/>
                <w:szCs w:val="24"/>
              </w:rPr>
              <w:t xml:space="preserve">(g) </w:t>
            </w:r>
          </w:p>
        </w:tc>
        <w:tc>
          <w:tcPr>
            <w:tcW w:w="1280" w:type="dxa"/>
            <w:tcBorders>
              <w:top w:val="single" w:color="000000" w:sz="4" w:space="0"/>
              <w:left w:val="single" w:color="000000" w:sz="4" w:space="0"/>
              <w:bottom w:val="single" w:color="000000" w:sz="4" w:space="0"/>
              <w:right w:val="single" w:color="000000" w:sz="4" w:space="0"/>
            </w:tcBorders>
            <w:vAlign w:val="center"/>
          </w:tcPr>
          <w:p w14:paraId="2EAB840D">
            <w:pPr>
              <w:rPr>
                <w:rFonts w:ascii="仿宋_GB2312" w:eastAsia="仿宋_GB2312"/>
                <w:sz w:val="24"/>
                <w:szCs w:val="24"/>
              </w:rPr>
            </w:pPr>
            <w:r>
              <w:rPr>
                <w:rFonts w:hint="eastAsia" w:ascii="仿宋_GB2312" w:eastAsia="仿宋_GB2312"/>
                <w:sz w:val="24"/>
                <w:szCs w:val="24"/>
              </w:rPr>
              <w:t>实际称取值</w:t>
            </w:r>
            <w:r>
              <w:rPr>
                <w:rFonts w:hint="eastAsia" w:ascii="仿宋_GB2312" w:hAnsi="Calibri" w:eastAsia="仿宋_GB2312" w:cs="Calibri"/>
                <w:sz w:val="24"/>
                <w:szCs w:val="24"/>
              </w:rPr>
              <w:t xml:space="preserve">(g) </w:t>
            </w:r>
          </w:p>
        </w:tc>
      </w:tr>
      <w:tr w14:paraId="0ED2BEDB">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345D887C">
            <w:pPr>
              <w:ind w:right="58"/>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311BBC2B">
            <w:pPr>
              <w:ind w:right="55"/>
              <w:jc w:val="center"/>
              <w:rPr>
                <w:rFonts w:ascii="仿宋_GB2312" w:eastAsia="仿宋_GB2312"/>
                <w:sz w:val="24"/>
                <w:szCs w:val="24"/>
              </w:rPr>
            </w:pPr>
            <w:r>
              <w:rPr>
                <w:rFonts w:hint="eastAsia" w:ascii="仿宋_GB2312" w:hAnsi="Calibri" w:eastAsia="仿宋_GB2312" w:cs="Calibri"/>
                <w:sz w:val="24"/>
                <w:szCs w:val="24"/>
              </w:rPr>
              <w:t>Ca(NO</w:t>
            </w:r>
            <w:r>
              <w:rPr>
                <w:rFonts w:hint="eastAsia" w:ascii="仿宋_GB2312" w:hAnsi="Calibri" w:eastAsia="仿宋_GB2312" w:cs="Calibri"/>
                <w:sz w:val="24"/>
                <w:szCs w:val="24"/>
                <w:vertAlign w:val="subscript"/>
              </w:rPr>
              <w:t>3</w:t>
            </w:r>
            <w:r>
              <w:rPr>
                <w:rFonts w:hint="eastAsia" w:ascii="仿宋_GB2312" w:hAnsi="Calibri" w:eastAsia="仿宋_GB2312" w:cs="Calibri"/>
                <w:sz w:val="24"/>
                <w:szCs w:val="24"/>
              </w:rPr>
              <w:t>)</w:t>
            </w:r>
            <w:r>
              <w:rPr>
                <w:rFonts w:hint="eastAsia" w:ascii="仿宋_GB2312" w:hAnsi="Calibri" w:eastAsia="仿宋_GB2312" w:cs="Calibri"/>
                <w:sz w:val="24"/>
                <w:szCs w:val="24"/>
                <w:vertAlign w:val="subscript"/>
              </w:rPr>
              <w:t>2</w:t>
            </w:r>
            <w:r>
              <w:rPr>
                <w:rFonts w:hint="eastAsia"/>
                <w:sz w:val="24"/>
                <w:szCs w:val="24"/>
              </w:rPr>
              <w:t>﹒</w:t>
            </w:r>
            <w:r>
              <w:rPr>
                <w:rFonts w:hint="eastAsia" w:ascii="仿宋_GB2312" w:hAnsi="Calibri" w:eastAsia="仿宋_GB2312" w:cs="Calibri"/>
                <w:sz w:val="24"/>
                <w:szCs w:val="24"/>
              </w:rPr>
              <w:t>4H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000000" w:sz="4" w:space="0"/>
              <w:left w:val="single" w:color="000000" w:sz="4" w:space="0"/>
              <w:bottom w:val="single" w:color="000000" w:sz="4" w:space="0"/>
              <w:right w:val="single" w:color="000000" w:sz="4" w:space="0"/>
            </w:tcBorders>
            <w:vAlign w:val="center"/>
          </w:tcPr>
          <w:p w14:paraId="6E3CFAAA">
            <w:pPr>
              <w:ind w:right="56"/>
              <w:jc w:val="center"/>
              <w:rPr>
                <w:rFonts w:ascii="仿宋_GB2312" w:eastAsia="仿宋_GB2312"/>
                <w:sz w:val="24"/>
                <w:szCs w:val="24"/>
              </w:rPr>
            </w:pPr>
            <w:r>
              <w:rPr>
                <w:rFonts w:hint="eastAsia" w:ascii="仿宋_GB2312" w:hAnsi="Calibri" w:eastAsia="仿宋_GB2312" w:cs="Calibri"/>
                <w:sz w:val="24"/>
                <w:szCs w:val="24"/>
              </w:rPr>
              <w:t xml:space="preserve">945 </w:t>
            </w:r>
          </w:p>
        </w:tc>
        <w:tc>
          <w:tcPr>
            <w:tcW w:w="708" w:type="dxa"/>
            <w:tcBorders>
              <w:top w:val="single" w:color="000000" w:sz="4" w:space="0"/>
              <w:left w:val="single" w:color="000000" w:sz="4" w:space="0"/>
              <w:bottom w:val="single" w:color="000000" w:sz="4" w:space="0"/>
              <w:right w:val="single" w:color="000000" w:sz="4" w:space="0"/>
            </w:tcBorders>
            <w:vAlign w:val="center"/>
          </w:tcPr>
          <w:p w14:paraId="02F9AF56">
            <w:pPr>
              <w:ind w:left="120"/>
              <w:rPr>
                <w:rFonts w:ascii="仿宋_GB2312" w:eastAsia="仿宋_GB2312"/>
                <w:sz w:val="24"/>
                <w:szCs w:val="24"/>
              </w:rPr>
            </w:pPr>
            <w:r>
              <w:rPr>
                <w:rFonts w:hint="eastAsia" w:ascii="仿宋_GB2312" w:hAnsi="Calibri" w:eastAsia="仿宋_GB2312" w:cs="Calibri"/>
                <w:sz w:val="24"/>
                <w:szCs w:val="24"/>
              </w:rPr>
              <w:t xml:space="preserve">55 </w:t>
            </w:r>
          </w:p>
        </w:tc>
        <w:tc>
          <w:tcPr>
            <w:tcW w:w="994" w:type="dxa"/>
            <w:tcBorders>
              <w:top w:val="single" w:color="000000" w:sz="4" w:space="0"/>
              <w:left w:val="single" w:color="000000" w:sz="4" w:space="0"/>
              <w:bottom w:val="single" w:color="000000" w:sz="4" w:space="0"/>
              <w:right w:val="single" w:color="000000" w:sz="4" w:space="0"/>
            </w:tcBorders>
            <w:vAlign w:val="center"/>
          </w:tcPr>
          <w:p w14:paraId="3E75897B">
            <w:pPr>
              <w:ind w:right="62"/>
              <w:jc w:val="center"/>
              <w:rPr>
                <w:rFonts w:ascii="仿宋_GB2312" w:eastAsia="仿宋_GB2312"/>
                <w:sz w:val="24"/>
                <w:szCs w:val="24"/>
              </w:rPr>
            </w:pPr>
            <w:r>
              <w:rPr>
                <w:rFonts w:hint="eastAsia" w:ascii="仿宋_GB2312" w:hAnsi="Calibri" w:eastAsia="仿宋_GB2312" w:cs="Calibri"/>
                <w:sz w:val="24"/>
                <w:szCs w:val="24"/>
              </w:rPr>
              <w:t xml:space="preserve">250 </w:t>
            </w:r>
          </w:p>
        </w:tc>
        <w:tc>
          <w:tcPr>
            <w:tcW w:w="1133" w:type="dxa"/>
            <w:tcBorders>
              <w:top w:val="single" w:color="000000" w:sz="4" w:space="0"/>
              <w:left w:val="single" w:color="000000" w:sz="4" w:space="0"/>
              <w:bottom w:val="single" w:color="000000" w:sz="4" w:space="0"/>
              <w:right w:val="single" w:color="000000" w:sz="4" w:space="0"/>
            </w:tcBorders>
            <w:vAlign w:val="center"/>
          </w:tcPr>
          <w:p w14:paraId="294CF025">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2A250D91">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41073981">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243EFABD">
            <w:pPr>
              <w:ind w:right="55"/>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6950784A">
            <w:pPr>
              <w:ind w:right="57"/>
              <w:jc w:val="center"/>
              <w:rPr>
                <w:rFonts w:ascii="仿宋_GB2312" w:eastAsia="仿宋_GB2312"/>
                <w:sz w:val="24"/>
                <w:szCs w:val="24"/>
              </w:rPr>
            </w:pPr>
            <w:r>
              <w:rPr>
                <w:rFonts w:hint="eastAsia" w:ascii="仿宋_GB2312" w:hAnsi="Calibri" w:eastAsia="仿宋_GB2312" w:cs="Calibri"/>
                <w:sz w:val="24"/>
                <w:szCs w:val="24"/>
              </w:rPr>
              <w:t>NH</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PO</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650C7BA5">
            <w:pPr>
              <w:ind w:right="56"/>
              <w:jc w:val="center"/>
              <w:rPr>
                <w:rFonts w:ascii="仿宋_GB2312" w:eastAsia="仿宋_GB2312"/>
                <w:sz w:val="24"/>
                <w:szCs w:val="24"/>
              </w:rPr>
            </w:pPr>
            <w:r>
              <w:rPr>
                <w:rFonts w:hint="eastAsia" w:ascii="仿宋_GB2312" w:hAnsi="Calibri" w:eastAsia="仿宋_GB2312" w:cs="Calibri"/>
                <w:sz w:val="24"/>
                <w:szCs w:val="24"/>
              </w:rPr>
              <w:t xml:space="preserve">153 </w:t>
            </w:r>
          </w:p>
        </w:tc>
        <w:tc>
          <w:tcPr>
            <w:tcW w:w="708" w:type="dxa"/>
            <w:tcBorders>
              <w:top w:val="single" w:color="000000" w:sz="4" w:space="0"/>
              <w:left w:val="single" w:color="000000" w:sz="4" w:space="0"/>
              <w:bottom w:val="single" w:color="000000" w:sz="4" w:space="0"/>
              <w:right w:val="single" w:color="000000" w:sz="4" w:space="0"/>
            </w:tcBorders>
            <w:vAlign w:val="center"/>
          </w:tcPr>
          <w:p w14:paraId="27A67DA5">
            <w:pPr>
              <w:ind w:left="120"/>
              <w:rPr>
                <w:rFonts w:ascii="仿宋_GB2312" w:eastAsia="仿宋_GB2312"/>
                <w:sz w:val="24"/>
                <w:szCs w:val="24"/>
              </w:rPr>
            </w:pPr>
            <w:r>
              <w:rPr>
                <w:rFonts w:hint="eastAsia" w:ascii="仿宋_GB2312" w:hAnsi="Calibri" w:eastAsia="仿宋_GB2312" w:cs="Calibri"/>
                <w:sz w:val="24"/>
                <w:szCs w:val="24"/>
              </w:rPr>
              <w:t xml:space="preserve">60 </w:t>
            </w:r>
          </w:p>
        </w:tc>
        <w:tc>
          <w:tcPr>
            <w:tcW w:w="994" w:type="dxa"/>
            <w:tcBorders>
              <w:top w:val="single" w:color="000000" w:sz="4" w:space="0"/>
              <w:left w:val="single" w:color="000000" w:sz="4" w:space="0"/>
              <w:bottom w:val="single" w:color="000000" w:sz="4" w:space="0"/>
              <w:right w:val="single" w:color="000000" w:sz="4" w:space="0"/>
            </w:tcBorders>
            <w:vAlign w:val="center"/>
          </w:tcPr>
          <w:p w14:paraId="7C72F456">
            <w:pPr>
              <w:ind w:right="62"/>
              <w:jc w:val="center"/>
              <w:rPr>
                <w:rFonts w:ascii="仿宋_GB2312" w:eastAsia="仿宋_GB2312"/>
                <w:sz w:val="24"/>
                <w:szCs w:val="24"/>
              </w:rPr>
            </w:pPr>
            <w:r>
              <w:rPr>
                <w:rFonts w:hint="eastAsia" w:ascii="仿宋_GB2312" w:hAnsi="Calibri" w:eastAsia="仿宋_GB2312" w:cs="Calibri"/>
                <w:sz w:val="24"/>
                <w:szCs w:val="24"/>
              </w:rPr>
              <w:t xml:space="preserve">500 </w:t>
            </w:r>
          </w:p>
        </w:tc>
        <w:tc>
          <w:tcPr>
            <w:tcW w:w="1133" w:type="dxa"/>
            <w:tcBorders>
              <w:top w:val="single" w:color="000000" w:sz="4" w:space="0"/>
              <w:left w:val="single" w:color="000000" w:sz="4" w:space="0"/>
              <w:bottom w:val="single" w:color="000000" w:sz="4" w:space="0"/>
              <w:right w:val="single" w:color="000000" w:sz="4" w:space="0"/>
            </w:tcBorders>
            <w:vAlign w:val="center"/>
          </w:tcPr>
          <w:p w14:paraId="6CFF9ABF">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20B5D240">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2E28A745">
        <w:tblPrEx>
          <w:tblCellMar>
            <w:top w:w="0" w:type="dxa"/>
            <w:left w:w="113" w:type="dxa"/>
            <w:bottom w:w="8" w:type="dxa"/>
            <w:right w:w="55" w:type="dxa"/>
          </w:tblCellMar>
        </w:tblPrEx>
        <w:trPr>
          <w:trHeight w:val="466" w:hRule="atLeast"/>
        </w:trPr>
        <w:tc>
          <w:tcPr>
            <w:tcW w:w="900" w:type="dxa"/>
            <w:vMerge w:val="restart"/>
            <w:tcBorders>
              <w:top w:val="single" w:color="000000" w:sz="4" w:space="0"/>
              <w:left w:val="single" w:color="000000" w:sz="4" w:space="0"/>
              <w:bottom w:val="nil"/>
              <w:right w:val="single" w:color="000000" w:sz="4" w:space="0"/>
            </w:tcBorders>
            <w:vAlign w:val="center"/>
          </w:tcPr>
          <w:p w14:paraId="08D3A6F6">
            <w:pPr>
              <w:ind w:right="58"/>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p>
        </w:tc>
        <w:tc>
          <w:tcPr>
            <w:tcW w:w="1841" w:type="dxa"/>
            <w:tcBorders>
              <w:top w:val="single" w:color="000000" w:sz="4" w:space="0"/>
              <w:left w:val="single" w:color="000000" w:sz="4" w:space="0"/>
              <w:bottom w:val="single" w:color="000000" w:sz="4" w:space="0"/>
              <w:right w:val="single" w:color="000000" w:sz="4" w:space="0"/>
            </w:tcBorders>
            <w:vAlign w:val="center"/>
          </w:tcPr>
          <w:p w14:paraId="08431778">
            <w:pPr>
              <w:ind w:right="55"/>
              <w:jc w:val="center"/>
              <w:rPr>
                <w:rFonts w:ascii="仿宋_GB2312" w:eastAsia="仿宋_GB2312"/>
                <w:sz w:val="24"/>
                <w:szCs w:val="24"/>
              </w:rPr>
            </w:pPr>
            <w:r>
              <w:rPr>
                <w:rFonts w:hint="eastAsia" w:ascii="仿宋_GB2312" w:hAnsi="Calibri" w:eastAsia="仿宋_GB2312" w:cs="Calibri"/>
                <w:sz w:val="24"/>
                <w:szCs w:val="24"/>
              </w:rPr>
              <w:t>FeSO</w:t>
            </w:r>
            <w:r>
              <w:rPr>
                <w:rFonts w:hint="eastAsia" w:ascii="仿宋_GB2312" w:hAnsi="Calibri" w:eastAsia="仿宋_GB2312" w:cs="Calibri"/>
                <w:sz w:val="24"/>
                <w:szCs w:val="24"/>
                <w:vertAlign w:val="subscript"/>
              </w:rPr>
              <w:t>4</w:t>
            </w:r>
            <w:r>
              <w:rPr>
                <w:rFonts w:hint="eastAsia"/>
                <w:sz w:val="24"/>
                <w:szCs w:val="24"/>
              </w:rPr>
              <w:t>﹒</w:t>
            </w:r>
            <w:r>
              <w:rPr>
                <w:rFonts w:hint="eastAsia" w:ascii="仿宋_GB2312" w:hAnsi="Calibri" w:eastAsia="仿宋_GB2312" w:cs="Calibri"/>
                <w:sz w:val="24"/>
                <w:szCs w:val="24"/>
              </w:rPr>
              <w:t>7H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O</w:t>
            </w:r>
          </w:p>
        </w:tc>
        <w:tc>
          <w:tcPr>
            <w:tcW w:w="1702" w:type="dxa"/>
            <w:tcBorders>
              <w:top w:val="single" w:color="000000" w:sz="4" w:space="0"/>
              <w:left w:val="single" w:color="000000" w:sz="4" w:space="0"/>
              <w:bottom w:val="single" w:color="000000" w:sz="4" w:space="0"/>
              <w:right w:val="single" w:color="000000" w:sz="4" w:space="0"/>
            </w:tcBorders>
            <w:vAlign w:val="center"/>
          </w:tcPr>
          <w:p w14:paraId="52DF849F">
            <w:pPr>
              <w:ind w:right="57"/>
              <w:jc w:val="center"/>
              <w:rPr>
                <w:rFonts w:ascii="仿宋_GB2312" w:eastAsia="仿宋_GB2312"/>
                <w:sz w:val="24"/>
                <w:szCs w:val="24"/>
              </w:rPr>
            </w:pPr>
            <w:r>
              <w:rPr>
                <w:rFonts w:hint="eastAsia" w:ascii="仿宋_GB2312" w:hAnsi="Calibri" w:eastAsia="仿宋_GB2312" w:cs="Calibri"/>
                <w:sz w:val="24"/>
                <w:szCs w:val="24"/>
              </w:rPr>
              <w:t>13.9</w:t>
            </w:r>
          </w:p>
        </w:tc>
        <w:tc>
          <w:tcPr>
            <w:tcW w:w="708" w:type="dxa"/>
            <w:vMerge w:val="restart"/>
            <w:tcBorders>
              <w:top w:val="single" w:color="000000" w:sz="4" w:space="0"/>
              <w:left w:val="single" w:color="000000" w:sz="4" w:space="0"/>
              <w:bottom w:val="nil"/>
              <w:right w:val="single" w:color="000000" w:sz="4" w:space="0"/>
            </w:tcBorders>
            <w:vAlign w:val="center"/>
          </w:tcPr>
          <w:p w14:paraId="3F37DF6D">
            <w:pPr>
              <w:ind w:left="60"/>
              <w:jc w:val="center"/>
              <w:rPr>
                <w:rFonts w:ascii="仿宋_GB2312" w:eastAsia="仿宋_GB2312"/>
                <w:sz w:val="24"/>
                <w:szCs w:val="24"/>
              </w:rPr>
            </w:pPr>
            <w:r>
              <w:rPr>
                <w:rFonts w:hint="eastAsia" w:ascii="仿宋_GB2312" w:hAnsi="Calibri" w:eastAsia="仿宋_GB2312" w:cs="Calibri"/>
                <w:sz w:val="24"/>
                <w:szCs w:val="24"/>
              </w:rPr>
              <w:t>200</w:t>
            </w:r>
          </w:p>
        </w:tc>
        <w:tc>
          <w:tcPr>
            <w:tcW w:w="994" w:type="dxa"/>
            <w:vMerge w:val="restart"/>
            <w:tcBorders>
              <w:top w:val="single" w:color="000000" w:sz="4" w:space="0"/>
              <w:left w:val="single" w:color="000000" w:sz="4" w:space="0"/>
              <w:bottom w:val="nil"/>
              <w:right w:val="single" w:color="000000" w:sz="4" w:space="0"/>
            </w:tcBorders>
            <w:vAlign w:val="center"/>
          </w:tcPr>
          <w:p w14:paraId="54A92E14">
            <w:pPr>
              <w:ind w:right="62"/>
              <w:jc w:val="center"/>
              <w:rPr>
                <w:rFonts w:ascii="仿宋_GB2312" w:eastAsia="仿宋_GB2312"/>
                <w:sz w:val="24"/>
                <w:szCs w:val="24"/>
              </w:rPr>
            </w:pPr>
            <w:r>
              <w:rPr>
                <w:rFonts w:hint="eastAsia" w:ascii="仿宋_GB2312" w:hAnsi="Calibri" w:eastAsia="仿宋_GB2312" w:cs="Calibri"/>
                <w:sz w:val="24"/>
                <w:szCs w:val="24"/>
              </w:rPr>
              <w:t>250</w:t>
            </w:r>
          </w:p>
        </w:tc>
        <w:tc>
          <w:tcPr>
            <w:tcW w:w="1133" w:type="dxa"/>
            <w:tcBorders>
              <w:top w:val="single" w:color="000000" w:sz="4" w:space="0"/>
              <w:left w:val="single" w:color="000000" w:sz="4" w:space="0"/>
              <w:bottom w:val="single" w:color="000000" w:sz="4" w:space="0"/>
              <w:right w:val="single" w:color="000000" w:sz="4" w:space="0"/>
            </w:tcBorders>
            <w:vAlign w:val="center"/>
          </w:tcPr>
          <w:p w14:paraId="0C04CB35">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17D56024">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4C1E9A82">
        <w:tblPrEx>
          <w:tblCellMar>
            <w:top w:w="0" w:type="dxa"/>
            <w:left w:w="113" w:type="dxa"/>
            <w:bottom w:w="8" w:type="dxa"/>
            <w:right w:w="55" w:type="dxa"/>
          </w:tblCellMar>
        </w:tblPrEx>
        <w:trPr>
          <w:trHeight w:val="163" w:hRule="atLeast"/>
        </w:trPr>
        <w:tc>
          <w:tcPr>
            <w:tcW w:w="0" w:type="auto"/>
            <w:vMerge w:val="continue"/>
            <w:tcBorders>
              <w:top w:val="nil"/>
              <w:left w:val="single" w:color="000000" w:sz="4" w:space="0"/>
              <w:bottom w:val="single" w:color="auto" w:sz="4" w:space="0"/>
              <w:right w:val="single" w:color="000000" w:sz="4" w:space="0"/>
            </w:tcBorders>
          </w:tcPr>
          <w:p w14:paraId="535879F8">
            <w:pPr>
              <w:spacing w:after="160"/>
              <w:rPr>
                <w:rFonts w:ascii="仿宋_GB2312" w:eastAsia="仿宋_GB2312"/>
                <w:sz w:val="24"/>
                <w:szCs w:val="24"/>
              </w:rPr>
            </w:pPr>
          </w:p>
        </w:tc>
        <w:tc>
          <w:tcPr>
            <w:tcW w:w="1841" w:type="dxa"/>
            <w:tcBorders>
              <w:top w:val="single" w:color="000000" w:sz="4" w:space="0"/>
              <w:left w:val="single" w:color="000000" w:sz="4" w:space="0"/>
              <w:bottom w:val="single" w:color="auto" w:sz="4" w:space="0"/>
              <w:right w:val="single" w:color="000000" w:sz="4" w:space="0"/>
            </w:tcBorders>
            <w:vAlign w:val="center"/>
          </w:tcPr>
          <w:p w14:paraId="585D7379">
            <w:pPr>
              <w:ind w:right="56"/>
              <w:jc w:val="center"/>
              <w:rPr>
                <w:rFonts w:ascii="仿宋_GB2312" w:eastAsia="仿宋_GB2312"/>
                <w:sz w:val="24"/>
                <w:szCs w:val="24"/>
              </w:rPr>
            </w:pPr>
            <w:r>
              <w:rPr>
                <w:rFonts w:hint="eastAsia" w:ascii="仿宋_GB2312" w:hAnsi="Calibri" w:eastAsia="仿宋_GB2312" w:cs="Calibri"/>
                <w:sz w:val="24"/>
                <w:szCs w:val="24"/>
              </w:rPr>
              <w:t>Na</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-EDTA</w:t>
            </w:r>
          </w:p>
        </w:tc>
        <w:tc>
          <w:tcPr>
            <w:tcW w:w="1702" w:type="dxa"/>
            <w:tcBorders>
              <w:top w:val="single" w:color="000000" w:sz="4" w:space="0"/>
              <w:left w:val="single" w:color="000000" w:sz="4" w:space="0"/>
              <w:bottom w:val="single" w:color="auto" w:sz="4" w:space="0"/>
              <w:right w:val="single" w:color="000000" w:sz="4" w:space="0"/>
            </w:tcBorders>
            <w:vAlign w:val="center"/>
          </w:tcPr>
          <w:p w14:paraId="669D0266">
            <w:pPr>
              <w:ind w:right="57"/>
              <w:jc w:val="center"/>
              <w:rPr>
                <w:rFonts w:ascii="仿宋_GB2312" w:eastAsia="仿宋_GB2312"/>
                <w:sz w:val="24"/>
                <w:szCs w:val="24"/>
              </w:rPr>
            </w:pPr>
            <w:r>
              <w:rPr>
                <w:rFonts w:hint="eastAsia" w:ascii="仿宋_GB2312" w:hAnsi="Calibri" w:eastAsia="仿宋_GB2312" w:cs="Calibri"/>
                <w:sz w:val="24"/>
                <w:szCs w:val="24"/>
              </w:rPr>
              <w:t>18.6</w:t>
            </w:r>
          </w:p>
        </w:tc>
        <w:tc>
          <w:tcPr>
            <w:tcW w:w="0" w:type="auto"/>
            <w:vMerge w:val="continue"/>
            <w:tcBorders>
              <w:top w:val="nil"/>
              <w:left w:val="single" w:color="000000" w:sz="4" w:space="0"/>
              <w:bottom w:val="single" w:color="auto" w:sz="4" w:space="0"/>
              <w:right w:val="single" w:color="000000" w:sz="4" w:space="0"/>
            </w:tcBorders>
            <w:vAlign w:val="center"/>
          </w:tcPr>
          <w:p w14:paraId="698EA2C2">
            <w:pPr>
              <w:spacing w:after="160"/>
              <w:jc w:val="center"/>
              <w:rPr>
                <w:rFonts w:ascii="仿宋_GB2312" w:eastAsia="仿宋_GB2312"/>
                <w:sz w:val="24"/>
                <w:szCs w:val="24"/>
              </w:rPr>
            </w:pPr>
          </w:p>
        </w:tc>
        <w:tc>
          <w:tcPr>
            <w:tcW w:w="0" w:type="auto"/>
            <w:vMerge w:val="continue"/>
            <w:tcBorders>
              <w:top w:val="nil"/>
              <w:left w:val="single" w:color="000000" w:sz="4" w:space="0"/>
              <w:bottom w:val="single" w:color="auto" w:sz="4" w:space="0"/>
              <w:right w:val="single" w:color="000000" w:sz="4" w:space="0"/>
            </w:tcBorders>
            <w:vAlign w:val="center"/>
          </w:tcPr>
          <w:p w14:paraId="3B764459">
            <w:pPr>
              <w:spacing w:after="160"/>
              <w:jc w:val="center"/>
              <w:rPr>
                <w:rFonts w:ascii="仿宋_GB2312" w:eastAsia="仿宋_GB2312"/>
                <w:sz w:val="24"/>
                <w:szCs w:val="24"/>
              </w:rPr>
            </w:pPr>
          </w:p>
        </w:tc>
        <w:tc>
          <w:tcPr>
            <w:tcW w:w="1133" w:type="dxa"/>
            <w:tcBorders>
              <w:top w:val="single" w:color="000000" w:sz="4" w:space="0"/>
              <w:left w:val="single" w:color="000000" w:sz="4" w:space="0"/>
              <w:bottom w:val="single" w:color="auto" w:sz="4" w:space="0"/>
              <w:right w:val="single" w:color="000000" w:sz="4" w:space="0"/>
            </w:tcBorders>
          </w:tcPr>
          <w:p w14:paraId="2D22A950">
            <w:pPr>
              <w:spacing w:after="160"/>
              <w:rPr>
                <w:rFonts w:ascii="仿宋_GB2312" w:eastAsia="仿宋_GB2312"/>
                <w:sz w:val="24"/>
                <w:szCs w:val="24"/>
              </w:rPr>
            </w:pPr>
          </w:p>
        </w:tc>
        <w:tc>
          <w:tcPr>
            <w:tcW w:w="1280" w:type="dxa"/>
            <w:tcBorders>
              <w:top w:val="single" w:color="000000" w:sz="4" w:space="0"/>
              <w:left w:val="single" w:color="000000" w:sz="4" w:space="0"/>
              <w:bottom w:val="single" w:color="auto" w:sz="4" w:space="0"/>
              <w:right w:val="single" w:color="000000" w:sz="4" w:space="0"/>
            </w:tcBorders>
          </w:tcPr>
          <w:p w14:paraId="660151DD">
            <w:pPr>
              <w:spacing w:after="160"/>
              <w:rPr>
                <w:rFonts w:ascii="仿宋_GB2312" w:eastAsia="仿宋_GB2312"/>
                <w:sz w:val="24"/>
                <w:szCs w:val="24"/>
              </w:rPr>
            </w:pPr>
          </w:p>
        </w:tc>
      </w:tr>
    </w:tbl>
    <w:p w14:paraId="2EBDE8DE">
      <w:pPr>
        <w:spacing w:before="312" w:beforeLines="100" w:after="188"/>
        <w:rPr>
          <w:rFonts w:ascii="仿宋_GB2312" w:eastAsia="仿宋_GB2312"/>
          <w:b/>
          <w:sz w:val="30"/>
        </w:rPr>
      </w:pPr>
      <w:r>
        <w:rPr>
          <w:sz w:val="30"/>
        </w:rPr>
        <w:t xml:space="preserve"> </w:t>
      </w:r>
      <w:r>
        <w:rPr>
          <w:rFonts w:ascii="仿宋_GB2312" w:eastAsia="仿宋_GB2312"/>
          <w:b/>
          <w:sz w:val="30"/>
        </w:rPr>
        <w:t xml:space="preserve">二、工作液配制 </w:t>
      </w:r>
      <w:r>
        <w:rPr>
          <w:sz w:val="24"/>
        </w:rPr>
        <w:t xml:space="preserve"> </w:t>
      </w:r>
    </w:p>
    <w:tbl>
      <w:tblPr>
        <w:tblStyle w:val="11"/>
        <w:tblW w:w="8529" w:type="dxa"/>
        <w:tblInd w:w="-108" w:type="dxa"/>
        <w:tblLayout w:type="autofit"/>
        <w:tblCellMar>
          <w:top w:w="0" w:type="dxa"/>
          <w:left w:w="108" w:type="dxa"/>
          <w:bottom w:w="0" w:type="dxa"/>
          <w:right w:w="17" w:type="dxa"/>
        </w:tblCellMar>
      </w:tblPr>
      <w:tblGrid>
        <w:gridCol w:w="1682"/>
        <w:gridCol w:w="2235"/>
        <w:gridCol w:w="1724"/>
        <w:gridCol w:w="1549"/>
        <w:gridCol w:w="1339"/>
      </w:tblGrid>
      <w:tr w14:paraId="3BDF9A2D">
        <w:tblPrEx>
          <w:tblCellMar>
            <w:top w:w="0" w:type="dxa"/>
            <w:left w:w="108" w:type="dxa"/>
            <w:bottom w:w="0" w:type="dxa"/>
            <w:right w:w="17" w:type="dxa"/>
          </w:tblCellMar>
        </w:tblPrEx>
        <w:trPr>
          <w:trHeight w:val="554"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6033C16F">
            <w:pPr>
              <w:ind w:right="89"/>
              <w:jc w:val="center"/>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2235" w:type="dxa"/>
            <w:tcBorders>
              <w:top w:val="single" w:color="000000" w:sz="4" w:space="0"/>
              <w:left w:val="single" w:color="000000" w:sz="4" w:space="0"/>
              <w:bottom w:val="single" w:color="000000" w:sz="4" w:space="0"/>
              <w:right w:val="single" w:color="000000" w:sz="4" w:space="0"/>
            </w:tcBorders>
            <w:vAlign w:val="center"/>
          </w:tcPr>
          <w:p w14:paraId="419CF6DB">
            <w:pPr>
              <w:jc w:val="center"/>
              <w:rPr>
                <w:rFonts w:ascii="仿宋_GB2312" w:eastAsia="仿宋_GB2312"/>
                <w:sz w:val="24"/>
                <w:szCs w:val="24"/>
              </w:rPr>
            </w:pPr>
            <w:r>
              <w:rPr>
                <w:rFonts w:hint="eastAsia" w:ascii="仿宋_GB2312" w:eastAsia="仿宋_GB2312"/>
                <w:sz w:val="24"/>
                <w:szCs w:val="24"/>
              </w:rPr>
              <w:t>配制工作液体积（</w:t>
            </w:r>
            <w:r>
              <w:rPr>
                <w:rFonts w:hint="eastAsia" w:ascii="仿宋_GB2312" w:hAnsi="Calibri" w:eastAsia="仿宋_GB2312" w:cs="Calibri"/>
                <w:sz w:val="24"/>
                <w:szCs w:val="24"/>
              </w:rPr>
              <w:t>ml</w:t>
            </w:r>
            <w:r>
              <w:rPr>
                <w:rFonts w:hint="eastAsia" w:ascii="仿宋_GB2312" w:eastAsia="仿宋_GB2312"/>
                <w:sz w:val="24"/>
                <w:szCs w:val="24"/>
              </w:rPr>
              <w:t>）</w:t>
            </w:r>
          </w:p>
        </w:tc>
        <w:tc>
          <w:tcPr>
            <w:tcW w:w="1724" w:type="dxa"/>
            <w:tcBorders>
              <w:top w:val="single" w:color="000000" w:sz="4" w:space="0"/>
              <w:left w:val="single" w:color="000000" w:sz="4" w:space="0"/>
              <w:bottom w:val="single" w:color="000000" w:sz="4" w:space="0"/>
              <w:right w:val="single" w:color="000000" w:sz="4" w:space="0"/>
            </w:tcBorders>
            <w:vAlign w:val="center"/>
          </w:tcPr>
          <w:p w14:paraId="205F4756">
            <w:pPr>
              <w:ind w:right="94"/>
              <w:jc w:val="center"/>
              <w:rPr>
                <w:rFonts w:ascii="仿宋_GB2312" w:eastAsia="仿宋_GB2312"/>
                <w:sz w:val="24"/>
                <w:szCs w:val="24"/>
              </w:rPr>
            </w:pPr>
            <w:r>
              <w:rPr>
                <w:rFonts w:hint="eastAsia" w:ascii="仿宋_GB2312" w:eastAsia="仿宋_GB2312"/>
                <w:sz w:val="24"/>
                <w:szCs w:val="24"/>
              </w:rPr>
              <w:t>配制剂量</w:t>
            </w:r>
            <w:r>
              <w:rPr>
                <w:rFonts w:hint="eastAsia" w:ascii="仿宋_GB2312" w:hAnsi="Calibri" w:eastAsia="仿宋_GB2312" w:cs="Calibri"/>
                <w:sz w:val="24"/>
                <w:szCs w:val="24"/>
              </w:rPr>
              <w:t xml:space="preserve"> </w:t>
            </w:r>
          </w:p>
        </w:tc>
        <w:tc>
          <w:tcPr>
            <w:tcW w:w="1549" w:type="dxa"/>
            <w:tcBorders>
              <w:top w:val="single" w:color="000000" w:sz="4" w:space="0"/>
              <w:left w:val="single" w:color="000000" w:sz="4" w:space="0"/>
              <w:bottom w:val="single" w:color="000000" w:sz="4" w:space="0"/>
              <w:right w:val="single" w:color="000000" w:sz="4" w:space="0"/>
            </w:tcBorders>
          </w:tcPr>
          <w:p w14:paraId="5341CDBE">
            <w:pPr>
              <w:spacing w:after="27"/>
              <w:rPr>
                <w:rFonts w:ascii="仿宋_GB2312" w:eastAsia="仿宋_GB2312"/>
                <w:sz w:val="24"/>
                <w:szCs w:val="24"/>
              </w:rPr>
            </w:pPr>
            <w:r>
              <w:rPr>
                <w:rFonts w:hint="eastAsia" w:ascii="仿宋_GB2312" w:eastAsia="仿宋_GB2312"/>
                <w:sz w:val="24"/>
                <w:szCs w:val="24"/>
              </w:rPr>
              <w:t>理论移取</w:t>
            </w:r>
            <w:r>
              <w:rPr>
                <w:rFonts w:hint="eastAsia" w:ascii="仿宋_GB2312" w:hAnsi="Calibri" w:eastAsia="仿宋_GB2312" w:cs="Calibri"/>
                <w:sz w:val="24"/>
                <w:szCs w:val="24"/>
              </w:rPr>
              <w:t xml:space="preserve"> </w:t>
            </w:r>
          </w:p>
          <w:p w14:paraId="092CBFFA">
            <w:pPr>
              <w:ind w:right="92"/>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 xml:space="preserve">(ml) </w:t>
            </w:r>
          </w:p>
        </w:tc>
        <w:tc>
          <w:tcPr>
            <w:tcW w:w="1339" w:type="dxa"/>
            <w:tcBorders>
              <w:top w:val="single" w:color="000000" w:sz="4" w:space="0"/>
              <w:left w:val="single" w:color="000000" w:sz="4" w:space="0"/>
              <w:bottom w:val="single" w:color="000000" w:sz="4" w:space="0"/>
              <w:right w:val="single" w:color="000000" w:sz="4" w:space="0"/>
            </w:tcBorders>
          </w:tcPr>
          <w:p w14:paraId="55A580B4">
            <w:pPr>
              <w:spacing w:after="27"/>
              <w:ind w:left="142"/>
              <w:rPr>
                <w:rFonts w:ascii="仿宋_GB2312" w:eastAsia="仿宋_GB2312"/>
                <w:sz w:val="24"/>
                <w:szCs w:val="24"/>
              </w:rPr>
            </w:pPr>
            <w:r>
              <w:rPr>
                <w:rFonts w:hint="eastAsia" w:ascii="仿宋_GB2312" w:eastAsia="仿宋_GB2312"/>
                <w:sz w:val="24"/>
                <w:szCs w:val="24"/>
              </w:rPr>
              <w:t>实际移取</w:t>
            </w:r>
            <w:r>
              <w:rPr>
                <w:rFonts w:hint="eastAsia" w:ascii="仿宋_GB2312" w:hAnsi="Calibri" w:eastAsia="仿宋_GB2312" w:cs="Calibri"/>
                <w:sz w:val="24"/>
                <w:szCs w:val="24"/>
              </w:rPr>
              <w:t xml:space="preserve"> </w:t>
            </w:r>
          </w:p>
          <w:p w14:paraId="09440F1C">
            <w:pPr>
              <w:ind w:left="74"/>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(ml)</w:t>
            </w:r>
          </w:p>
        </w:tc>
      </w:tr>
      <w:tr w14:paraId="7602CB0D">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7E112D00">
            <w:pPr>
              <w:ind w:right="91"/>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2235" w:type="dxa"/>
            <w:vMerge w:val="restart"/>
            <w:tcBorders>
              <w:top w:val="single" w:color="000000" w:sz="4" w:space="0"/>
              <w:left w:val="single" w:color="000000" w:sz="4" w:space="0"/>
              <w:bottom w:val="single" w:color="000000" w:sz="4" w:space="0"/>
              <w:right w:val="single" w:color="000000" w:sz="4" w:space="0"/>
            </w:tcBorders>
            <w:vAlign w:val="center"/>
          </w:tcPr>
          <w:p w14:paraId="562EA3BE">
            <w:pPr>
              <w:ind w:right="89"/>
              <w:jc w:val="center"/>
              <w:rPr>
                <w:rFonts w:ascii="仿宋_GB2312" w:eastAsia="仿宋_GB2312"/>
                <w:sz w:val="24"/>
                <w:szCs w:val="24"/>
              </w:rPr>
            </w:pPr>
            <w:r>
              <w:rPr>
                <w:rFonts w:hint="eastAsia" w:ascii="仿宋_GB2312" w:hAnsi="Calibri" w:eastAsia="仿宋_GB2312" w:cs="Calibri"/>
                <w:sz w:val="24"/>
                <w:szCs w:val="24"/>
              </w:rPr>
              <w:t>1000</w:t>
            </w:r>
          </w:p>
        </w:tc>
        <w:tc>
          <w:tcPr>
            <w:tcW w:w="1724" w:type="dxa"/>
            <w:tcBorders>
              <w:top w:val="single" w:color="000000" w:sz="4" w:space="0"/>
              <w:left w:val="single" w:color="000000" w:sz="4" w:space="0"/>
              <w:bottom w:val="single" w:color="000000" w:sz="4" w:space="0"/>
              <w:right w:val="single" w:color="000000" w:sz="4" w:space="0"/>
            </w:tcBorders>
          </w:tcPr>
          <w:p w14:paraId="35310B6A">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1</m:t>
                    </m:r>
                    <m:ctrlPr>
                      <w:rPr>
                        <w:rFonts w:hint="eastAsia" w:ascii="Cambria Math" w:hAnsi="Cambria Math" w:eastAsia="仿宋_GB2312"/>
                        <w:sz w:val="24"/>
                        <w:szCs w:val="24"/>
                      </w:rPr>
                    </m:ctrlPr>
                  </m:num>
                  <m:den>
                    <m:r>
                      <m:rPr/>
                      <w:rPr>
                        <w:rFonts w:hint="eastAsia" w:ascii="Cambria Math" w:hAnsi="Cambria Math" w:eastAsia="仿宋_GB2312"/>
                        <w:sz w:val="24"/>
                        <w:szCs w:val="24"/>
                      </w:rPr>
                      <m:t>7</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4C1FA050">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2C6F9355">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65961DC8">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6AA21788">
            <w:pPr>
              <w:ind w:right="89"/>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nil"/>
              <w:right w:val="single" w:color="000000" w:sz="4" w:space="0"/>
            </w:tcBorders>
          </w:tcPr>
          <w:p w14:paraId="1289A5A4">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4E081C76">
            <w:pPr>
              <w:rPr>
                <w:rFonts w:ascii="仿宋_GB2312" w:eastAsia="仿宋_GB2312"/>
                <w:sz w:val="24"/>
                <w:szCs w:val="24"/>
              </w:rPr>
            </w:pPr>
            <m:oMathPara>
              <m:oMathParaPr>
                <m:jc m:val="center"/>
              </m:oMathParaPr>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2</m:t>
                    </m:r>
                    <m:ctrlPr>
                      <w:rPr>
                        <w:rFonts w:hint="eastAsia" w:ascii="Cambria Math" w:hAnsi="Cambria Math" w:eastAsia="仿宋_GB2312"/>
                        <w:sz w:val="24"/>
                        <w:szCs w:val="24"/>
                      </w:rPr>
                    </m:ctrlPr>
                  </m:num>
                  <m:den>
                    <m:r>
                      <m:rPr/>
                      <w:rPr>
                        <w:rFonts w:hint="eastAsia" w:ascii="Cambria Math" w:hAnsi="Cambria Math" w:eastAsia="仿宋_GB2312"/>
                        <w:sz w:val="24"/>
                        <w:szCs w:val="24"/>
                      </w:rPr>
                      <m:t>3</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0D510C83">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2F5F224F">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54D89A62">
        <w:tblPrEx>
          <w:tblCellMar>
            <w:top w:w="0" w:type="dxa"/>
            <w:left w:w="108" w:type="dxa"/>
            <w:bottom w:w="0" w:type="dxa"/>
            <w:right w:w="17" w:type="dxa"/>
          </w:tblCellMar>
        </w:tblPrEx>
        <w:trPr>
          <w:trHeight w:val="653"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2C40BD4B">
            <w:pPr>
              <w:ind w:right="91"/>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single" w:color="000000" w:sz="4" w:space="0"/>
              <w:right w:val="single" w:color="000000" w:sz="4" w:space="0"/>
            </w:tcBorders>
          </w:tcPr>
          <w:p w14:paraId="24D39AC4">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33855D0E">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3</m:t>
                    </m:r>
                    <m:ctrlPr>
                      <w:rPr>
                        <w:rFonts w:hint="eastAsia" w:ascii="Cambria Math" w:hAnsi="Cambria Math" w:eastAsia="仿宋_GB2312"/>
                        <w:sz w:val="24"/>
                        <w:szCs w:val="24"/>
                      </w:rPr>
                    </m:ctrlPr>
                  </m:num>
                  <m:den>
                    <m:r>
                      <m:rPr/>
                      <w:rPr>
                        <w:rFonts w:hint="eastAsia" w:ascii="Cambria Math" w:hAnsi="Cambria Math" w:eastAsia="仿宋_GB2312"/>
                        <w:sz w:val="24"/>
                        <w:szCs w:val="24"/>
                      </w:rPr>
                      <m:t>8</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6838172B">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6D68E4E3">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bl>
    <w:p w14:paraId="797290C5">
      <w:pPr>
        <w:spacing w:before="312" w:beforeLines="100" w:after="312" w:afterLines="100"/>
        <w:ind w:left="-6" w:hanging="11"/>
        <w:rPr>
          <w:rFonts w:hint="eastAsia" w:ascii="仿宋_GB2312" w:eastAsia="仿宋_GB2312"/>
          <w:b/>
          <w:sz w:val="30"/>
        </w:rPr>
      </w:pPr>
      <w:r>
        <w:rPr>
          <w:rFonts w:hint="eastAsia" w:ascii="仿宋_GB2312" w:eastAsia="仿宋_GB2312"/>
          <w:b/>
          <w:sz w:val="30"/>
        </w:rPr>
        <w:t xml:space="preserve">实际操作结束时间（根据现场钟表填写）：    </w:t>
      </w:r>
    </w:p>
    <w:p w14:paraId="7ADF5A9D">
      <w:pPr>
        <w:spacing w:line="384" w:lineRule="auto"/>
        <w:ind w:right="6888"/>
      </w:pPr>
      <w:r>
        <w:t xml:space="preserve">  </w:t>
      </w:r>
    </w:p>
    <w:p w14:paraId="77551FB5">
      <w:pPr>
        <w:spacing w:line="384" w:lineRule="auto"/>
        <w:ind w:right="6888"/>
      </w:pPr>
    </w:p>
    <w:p w14:paraId="5BD65F4C">
      <w:pPr>
        <w:spacing w:after="188"/>
        <w:jc w:val="center"/>
        <w:rPr>
          <w:rFonts w:ascii="方正小标宋简体" w:eastAsia="方正小标宋简体"/>
          <w:sz w:val="36"/>
        </w:rPr>
      </w:pPr>
      <w:r>
        <w:rPr>
          <w:rFonts w:hint="eastAsia" w:ascii="方正小标宋简体" w:eastAsia="方正小标宋简体"/>
          <w:sz w:val="36"/>
          <w:lang w:val="en-US" w:eastAsia="zh-CN"/>
        </w:rPr>
        <w:t>2025年河北省</w:t>
      </w:r>
      <w:r>
        <w:rPr>
          <w:rFonts w:ascii="方正小标宋简体" w:eastAsia="方正小标宋简体"/>
          <w:sz w:val="36"/>
        </w:rPr>
        <w:t>职业院校技能大赛</w:t>
      </w:r>
      <w:r>
        <w:rPr>
          <w:rFonts w:hint="eastAsia" w:ascii="方正小标宋简体" w:eastAsia="方正小标宋简体"/>
          <w:sz w:val="36"/>
        </w:rPr>
        <w:t>植物嫁接</w:t>
      </w:r>
      <w:r>
        <w:rPr>
          <w:rFonts w:ascii="方正小标宋简体" w:eastAsia="方正小标宋简体"/>
          <w:sz w:val="36"/>
        </w:rPr>
        <w:t xml:space="preserve">赛项 </w:t>
      </w:r>
    </w:p>
    <w:p w14:paraId="59410819">
      <w:pPr>
        <w:spacing w:after="188"/>
        <w:jc w:val="center"/>
        <w:rPr>
          <w:rFonts w:ascii="方正小标宋简体" w:eastAsia="方正小标宋简体"/>
          <w:sz w:val="36"/>
        </w:rPr>
      </w:pPr>
      <w:r>
        <w:rPr>
          <w:rFonts w:ascii="方正小标宋简体" w:eastAsia="方正小标宋简体"/>
          <w:sz w:val="36"/>
        </w:rPr>
        <w:t xml:space="preserve">营养液配制操作试题（四） </w:t>
      </w:r>
    </w:p>
    <w:p w14:paraId="4A129CA1">
      <w:pPr>
        <w:ind w:left="-5"/>
        <w:rPr>
          <w:rFonts w:hint="eastAsia" w:ascii="仿宋_GB2312" w:eastAsia="仿宋_GB2312"/>
          <w:b/>
          <w:sz w:val="28"/>
          <w:szCs w:val="28"/>
        </w:rPr>
      </w:pPr>
    </w:p>
    <w:p w14:paraId="17C4BFB4">
      <w:pPr>
        <w:ind w:left="-5"/>
        <w:rPr>
          <w:rFonts w:ascii="仿宋_GB2312" w:eastAsia="仿宋_GB2312"/>
          <w:b/>
          <w:sz w:val="28"/>
          <w:szCs w:val="28"/>
        </w:rPr>
      </w:pPr>
      <w:r>
        <w:rPr>
          <w:rFonts w:hint="eastAsia" w:ascii="仿宋_GB2312" w:eastAsia="仿宋_GB2312"/>
          <w:b/>
          <w:sz w:val="28"/>
          <w:szCs w:val="28"/>
        </w:rPr>
        <w:t>工位号：                    分数：</w:t>
      </w:r>
    </w:p>
    <w:p w14:paraId="4B935F6A">
      <w:pPr>
        <w:spacing w:before="312" w:beforeLines="100" w:after="312" w:afterLines="100"/>
        <w:ind w:left="-6" w:hanging="11"/>
        <w:rPr>
          <w:rFonts w:ascii="仿宋_GB2312" w:eastAsia="仿宋_GB2312"/>
          <w:b/>
        </w:rPr>
      </w:pPr>
      <w:r>
        <w:rPr>
          <w:rFonts w:hint="eastAsia" w:ascii="仿宋_GB2312" w:eastAsia="仿宋_GB2312"/>
          <w:b/>
          <w:sz w:val="30"/>
        </w:rPr>
        <w:t xml:space="preserve">一、母液配制 </w:t>
      </w:r>
    </w:p>
    <w:tbl>
      <w:tblPr>
        <w:tblStyle w:val="11"/>
        <w:tblW w:w="8558" w:type="dxa"/>
        <w:tblInd w:w="-122" w:type="dxa"/>
        <w:tblLayout w:type="autofit"/>
        <w:tblCellMar>
          <w:top w:w="0" w:type="dxa"/>
          <w:left w:w="113" w:type="dxa"/>
          <w:bottom w:w="8" w:type="dxa"/>
          <w:right w:w="55" w:type="dxa"/>
        </w:tblCellMar>
      </w:tblPr>
      <w:tblGrid>
        <w:gridCol w:w="900"/>
        <w:gridCol w:w="1841"/>
        <w:gridCol w:w="1702"/>
        <w:gridCol w:w="708"/>
        <w:gridCol w:w="994"/>
        <w:gridCol w:w="1133"/>
        <w:gridCol w:w="1280"/>
      </w:tblGrid>
      <w:tr w14:paraId="76143D29">
        <w:tblPrEx>
          <w:tblCellMar>
            <w:top w:w="0" w:type="dxa"/>
            <w:left w:w="113" w:type="dxa"/>
            <w:bottom w:w="8" w:type="dxa"/>
            <w:right w:w="55" w:type="dxa"/>
          </w:tblCellMar>
        </w:tblPrEx>
        <w:trPr>
          <w:trHeight w:val="811"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7B14FE56">
            <w:pPr>
              <w:ind w:left="127"/>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118AE2B9">
            <w:pPr>
              <w:ind w:right="56"/>
              <w:jc w:val="center"/>
              <w:rPr>
                <w:rFonts w:ascii="仿宋_GB2312" w:eastAsia="仿宋_GB2312"/>
                <w:sz w:val="24"/>
                <w:szCs w:val="24"/>
              </w:rPr>
            </w:pPr>
            <w:r>
              <w:rPr>
                <w:rFonts w:hint="eastAsia" w:ascii="仿宋_GB2312" w:eastAsia="仿宋_GB2312"/>
                <w:sz w:val="24"/>
                <w:szCs w:val="24"/>
              </w:rPr>
              <w:t>成份</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5BD50963">
            <w:pPr>
              <w:ind w:left="36"/>
              <w:jc w:val="center"/>
              <w:rPr>
                <w:rFonts w:ascii="仿宋_GB2312" w:eastAsia="仿宋_GB2312"/>
                <w:sz w:val="24"/>
                <w:szCs w:val="24"/>
              </w:rPr>
            </w:pPr>
            <w:r>
              <w:rPr>
                <w:rFonts w:hint="eastAsia" w:ascii="仿宋_GB2312" w:eastAsia="仿宋_GB2312"/>
                <w:sz w:val="24"/>
                <w:szCs w:val="24"/>
              </w:rPr>
              <w:t>标准用量</w:t>
            </w:r>
            <w:r>
              <w:rPr>
                <w:rFonts w:hint="eastAsia" w:ascii="仿宋_GB2312" w:hAnsi="Calibri" w:eastAsia="仿宋_GB2312" w:cs="Calibri"/>
                <w:sz w:val="24"/>
                <w:szCs w:val="24"/>
              </w:rPr>
              <w:t>(mg/L)</w:t>
            </w:r>
          </w:p>
        </w:tc>
        <w:tc>
          <w:tcPr>
            <w:tcW w:w="708" w:type="dxa"/>
            <w:tcBorders>
              <w:top w:val="single" w:color="000000" w:sz="4" w:space="0"/>
              <w:left w:val="single" w:color="000000" w:sz="4" w:space="0"/>
              <w:bottom w:val="single" w:color="000000" w:sz="4" w:space="0"/>
              <w:right w:val="single" w:color="000000" w:sz="4" w:space="0"/>
            </w:tcBorders>
            <w:vAlign w:val="center"/>
          </w:tcPr>
          <w:p w14:paraId="644B15BA">
            <w:pPr>
              <w:jc w:val="center"/>
              <w:rPr>
                <w:rFonts w:ascii="仿宋_GB2312" w:eastAsia="仿宋_GB2312"/>
                <w:sz w:val="24"/>
                <w:szCs w:val="24"/>
              </w:rPr>
            </w:pPr>
            <w:r>
              <w:rPr>
                <w:rFonts w:hint="eastAsia" w:ascii="仿宋_GB2312" w:eastAsia="仿宋_GB2312"/>
                <w:sz w:val="24"/>
                <w:szCs w:val="24"/>
              </w:rPr>
              <w:t>浓缩倍数</w:t>
            </w:r>
            <w:r>
              <w:rPr>
                <w:rFonts w:hint="eastAsia" w:ascii="仿宋_GB2312" w:hAnsi="Calibri" w:eastAsia="仿宋_GB2312" w:cs="Calibri"/>
                <w:sz w:val="24"/>
                <w:szCs w:val="24"/>
              </w:rPr>
              <w:t xml:space="preserve"> </w:t>
            </w:r>
          </w:p>
        </w:tc>
        <w:tc>
          <w:tcPr>
            <w:tcW w:w="994" w:type="dxa"/>
            <w:tcBorders>
              <w:top w:val="single" w:color="000000" w:sz="4" w:space="0"/>
              <w:left w:val="single" w:color="000000" w:sz="4" w:space="0"/>
              <w:bottom w:val="single" w:color="000000" w:sz="4" w:space="0"/>
              <w:right w:val="single" w:color="000000" w:sz="4" w:space="0"/>
            </w:tcBorders>
          </w:tcPr>
          <w:p w14:paraId="6961E2E4">
            <w:pPr>
              <w:spacing w:line="255" w:lineRule="auto"/>
              <w:jc w:val="center"/>
              <w:rPr>
                <w:rFonts w:ascii="仿宋_GB2312" w:eastAsia="仿宋_GB2312"/>
                <w:sz w:val="24"/>
                <w:szCs w:val="24"/>
              </w:rPr>
            </w:pPr>
            <w:r>
              <w:rPr>
                <w:rFonts w:hint="eastAsia" w:ascii="仿宋_GB2312" w:eastAsia="仿宋_GB2312"/>
                <w:sz w:val="24"/>
                <w:szCs w:val="24"/>
              </w:rPr>
              <w:t>配制母液体积</w:t>
            </w:r>
          </w:p>
          <w:p w14:paraId="36FB8E39">
            <w:pPr>
              <w:ind w:right="58"/>
              <w:jc w:val="center"/>
              <w:rPr>
                <w:rFonts w:ascii="仿宋_GB2312" w:eastAsia="仿宋_GB2312"/>
                <w:sz w:val="24"/>
                <w:szCs w:val="24"/>
              </w:rPr>
            </w:pPr>
            <w:r>
              <w:rPr>
                <w:rFonts w:hint="eastAsia" w:ascii="仿宋_GB2312" w:hAnsi="Calibri" w:eastAsia="仿宋_GB2312" w:cs="Calibri"/>
                <w:sz w:val="24"/>
                <w:szCs w:val="24"/>
              </w:rPr>
              <w:t xml:space="preserve">(ml) </w:t>
            </w:r>
          </w:p>
        </w:tc>
        <w:tc>
          <w:tcPr>
            <w:tcW w:w="1133" w:type="dxa"/>
            <w:tcBorders>
              <w:top w:val="single" w:color="000000" w:sz="4" w:space="0"/>
              <w:left w:val="single" w:color="000000" w:sz="4" w:space="0"/>
              <w:bottom w:val="single" w:color="000000" w:sz="4" w:space="0"/>
              <w:right w:val="single" w:color="000000" w:sz="4" w:space="0"/>
            </w:tcBorders>
            <w:vAlign w:val="center"/>
          </w:tcPr>
          <w:p w14:paraId="6AF4188C">
            <w:pPr>
              <w:jc w:val="center"/>
              <w:rPr>
                <w:rFonts w:ascii="仿宋_GB2312" w:eastAsia="仿宋_GB2312"/>
                <w:sz w:val="24"/>
                <w:szCs w:val="24"/>
              </w:rPr>
            </w:pPr>
            <w:r>
              <w:rPr>
                <w:rFonts w:hint="eastAsia" w:ascii="仿宋_GB2312" w:eastAsia="仿宋_GB2312"/>
                <w:sz w:val="24"/>
                <w:szCs w:val="24"/>
              </w:rPr>
              <w:t>理论计算值</w:t>
            </w:r>
            <w:r>
              <w:rPr>
                <w:rFonts w:hint="eastAsia" w:ascii="仿宋_GB2312" w:hAnsi="Calibri" w:eastAsia="仿宋_GB2312" w:cs="Calibri"/>
                <w:sz w:val="24"/>
                <w:szCs w:val="24"/>
              </w:rPr>
              <w:t xml:space="preserve">(g) </w:t>
            </w:r>
          </w:p>
        </w:tc>
        <w:tc>
          <w:tcPr>
            <w:tcW w:w="1280" w:type="dxa"/>
            <w:tcBorders>
              <w:top w:val="single" w:color="000000" w:sz="4" w:space="0"/>
              <w:left w:val="single" w:color="000000" w:sz="4" w:space="0"/>
              <w:bottom w:val="single" w:color="000000" w:sz="4" w:space="0"/>
              <w:right w:val="single" w:color="000000" w:sz="4" w:space="0"/>
            </w:tcBorders>
            <w:vAlign w:val="center"/>
          </w:tcPr>
          <w:p w14:paraId="17ABD706">
            <w:pPr>
              <w:rPr>
                <w:rFonts w:ascii="仿宋_GB2312" w:eastAsia="仿宋_GB2312"/>
                <w:sz w:val="24"/>
                <w:szCs w:val="24"/>
              </w:rPr>
            </w:pPr>
            <w:r>
              <w:rPr>
                <w:rFonts w:hint="eastAsia" w:ascii="仿宋_GB2312" w:eastAsia="仿宋_GB2312"/>
                <w:sz w:val="24"/>
                <w:szCs w:val="24"/>
              </w:rPr>
              <w:t>实际称取值</w:t>
            </w:r>
            <w:r>
              <w:rPr>
                <w:rFonts w:hint="eastAsia" w:ascii="仿宋_GB2312" w:hAnsi="Calibri" w:eastAsia="仿宋_GB2312" w:cs="Calibri"/>
                <w:sz w:val="24"/>
                <w:szCs w:val="24"/>
              </w:rPr>
              <w:t xml:space="preserve">(g) </w:t>
            </w:r>
          </w:p>
        </w:tc>
      </w:tr>
      <w:tr w14:paraId="067CCF09">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256CEECF">
            <w:pPr>
              <w:ind w:right="58"/>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5B8AED04">
            <w:pPr>
              <w:ind w:right="55"/>
              <w:jc w:val="center"/>
              <w:rPr>
                <w:rFonts w:ascii="仿宋_GB2312" w:eastAsia="仿宋_GB2312"/>
                <w:sz w:val="24"/>
                <w:szCs w:val="24"/>
              </w:rPr>
            </w:pPr>
            <w:r>
              <w:rPr>
                <w:rFonts w:hint="eastAsia" w:ascii="仿宋_GB2312" w:hAnsi="Calibri" w:eastAsia="仿宋_GB2312" w:cs="Calibri"/>
                <w:sz w:val="24"/>
                <w:szCs w:val="24"/>
              </w:rPr>
              <w:t>Ca(NO</w:t>
            </w:r>
            <w:r>
              <w:rPr>
                <w:rFonts w:hint="eastAsia" w:ascii="仿宋_GB2312" w:hAnsi="Calibri" w:eastAsia="仿宋_GB2312" w:cs="Calibri"/>
                <w:sz w:val="24"/>
                <w:szCs w:val="24"/>
                <w:vertAlign w:val="subscript"/>
              </w:rPr>
              <w:t>3</w:t>
            </w:r>
            <w:r>
              <w:rPr>
                <w:rFonts w:hint="eastAsia" w:ascii="仿宋_GB2312" w:hAnsi="Calibri" w:eastAsia="仿宋_GB2312" w:cs="Calibri"/>
                <w:sz w:val="24"/>
                <w:szCs w:val="24"/>
              </w:rPr>
              <w:t>)</w:t>
            </w:r>
            <w:r>
              <w:rPr>
                <w:rFonts w:hint="eastAsia" w:ascii="仿宋_GB2312" w:hAnsi="Calibri" w:eastAsia="仿宋_GB2312" w:cs="Calibri"/>
                <w:sz w:val="24"/>
                <w:szCs w:val="24"/>
                <w:vertAlign w:val="subscript"/>
              </w:rPr>
              <w:t>2</w:t>
            </w:r>
            <w:r>
              <w:rPr>
                <w:rFonts w:hint="eastAsia"/>
                <w:sz w:val="24"/>
                <w:szCs w:val="24"/>
              </w:rPr>
              <w:t>﹒</w:t>
            </w:r>
            <w:r>
              <w:rPr>
                <w:rFonts w:hint="eastAsia" w:ascii="仿宋_GB2312" w:hAnsi="Calibri" w:eastAsia="仿宋_GB2312" w:cs="Calibri"/>
                <w:sz w:val="24"/>
                <w:szCs w:val="24"/>
              </w:rPr>
              <w:t>4H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000000" w:sz="4" w:space="0"/>
              <w:left w:val="single" w:color="000000" w:sz="4" w:space="0"/>
              <w:bottom w:val="single" w:color="000000" w:sz="4" w:space="0"/>
              <w:right w:val="single" w:color="000000" w:sz="4" w:space="0"/>
            </w:tcBorders>
            <w:vAlign w:val="center"/>
          </w:tcPr>
          <w:p w14:paraId="1D73E569">
            <w:pPr>
              <w:ind w:right="56"/>
              <w:jc w:val="center"/>
              <w:rPr>
                <w:rFonts w:ascii="仿宋_GB2312" w:eastAsia="仿宋_GB2312"/>
                <w:sz w:val="24"/>
                <w:szCs w:val="24"/>
              </w:rPr>
            </w:pPr>
            <w:r>
              <w:rPr>
                <w:rFonts w:hint="eastAsia" w:ascii="仿宋_GB2312" w:hAnsi="Calibri" w:eastAsia="仿宋_GB2312" w:cs="Calibri"/>
                <w:sz w:val="24"/>
                <w:szCs w:val="24"/>
              </w:rPr>
              <w:t xml:space="preserve">945 </w:t>
            </w:r>
          </w:p>
        </w:tc>
        <w:tc>
          <w:tcPr>
            <w:tcW w:w="708" w:type="dxa"/>
            <w:tcBorders>
              <w:top w:val="single" w:color="000000" w:sz="4" w:space="0"/>
              <w:left w:val="single" w:color="000000" w:sz="4" w:space="0"/>
              <w:bottom w:val="single" w:color="000000" w:sz="4" w:space="0"/>
              <w:right w:val="single" w:color="000000" w:sz="4" w:space="0"/>
            </w:tcBorders>
            <w:vAlign w:val="center"/>
          </w:tcPr>
          <w:p w14:paraId="6E940325">
            <w:pPr>
              <w:ind w:left="120"/>
              <w:rPr>
                <w:rFonts w:ascii="仿宋_GB2312" w:eastAsia="仿宋_GB2312"/>
                <w:sz w:val="24"/>
                <w:szCs w:val="24"/>
              </w:rPr>
            </w:pPr>
            <w:r>
              <w:rPr>
                <w:rFonts w:hint="eastAsia" w:ascii="仿宋_GB2312" w:hAnsi="Calibri" w:eastAsia="仿宋_GB2312" w:cs="Calibri"/>
                <w:sz w:val="24"/>
                <w:szCs w:val="24"/>
              </w:rPr>
              <w:t xml:space="preserve">40 </w:t>
            </w:r>
          </w:p>
        </w:tc>
        <w:tc>
          <w:tcPr>
            <w:tcW w:w="994" w:type="dxa"/>
            <w:tcBorders>
              <w:top w:val="single" w:color="000000" w:sz="4" w:space="0"/>
              <w:left w:val="single" w:color="000000" w:sz="4" w:space="0"/>
              <w:bottom w:val="single" w:color="000000" w:sz="4" w:space="0"/>
              <w:right w:val="single" w:color="000000" w:sz="4" w:space="0"/>
            </w:tcBorders>
            <w:vAlign w:val="center"/>
          </w:tcPr>
          <w:p w14:paraId="4091B83F">
            <w:pPr>
              <w:ind w:right="62"/>
              <w:jc w:val="center"/>
              <w:rPr>
                <w:rFonts w:ascii="仿宋_GB2312" w:eastAsia="仿宋_GB2312"/>
                <w:sz w:val="24"/>
                <w:szCs w:val="24"/>
              </w:rPr>
            </w:pPr>
            <w:r>
              <w:rPr>
                <w:rFonts w:hint="eastAsia" w:ascii="仿宋_GB2312" w:hAnsi="Calibri" w:eastAsia="仿宋_GB2312" w:cs="Calibri"/>
                <w:sz w:val="24"/>
                <w:szCs w:val="24"/>
              </w:rPr>
              <w:t xml:space="preserve">500 </w:t>
            </w:r>
          </w:p>
        </w:tc>
        <w:tc>
          <w:tcPr>
            <w:tcW w:w="1133" w:type="dxa"/>
            <w:tcBorders>
              <w:top w:val="single" w:color="000000" w:sz="4" w:space="0"/>
              <w:left w:val="single" w:color="000000" w:sz="4" w:space="0"/>
              <w:bottom w:val="single" w:color="000000" w:sz="4" w:space="0"/>
              <w:right w:val="single" w:color="000000" w:sz="4" w:space="0"/>
            </w:tcBorders>
            <w:vAlign w:val="center"/>
          </w:tcPr>
          <w:p w14:paraId="55F8BF81">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0712EDCA">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5F4F87F6">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auto" w:sz="4" w:space="0"/>
              <w:right w:val="single" w:color="000000" w:sz="4" w:space="0"/>
            </w:tcBorders>
            <w:vAlign w:val="center"/>
          </w:tcPr>
          <w:p w14:paraId="07FA4473">
            <w:pPr>
              <w:ind w:right="55"/>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auto" w:sz="4" w:space="0"/>
              <w:right w:val="single" w:color="000000" w:sz="4" w:space="0"/>
            </w:tcBorders>
            <w:vAlign w:val="center"/>
          </w:tcPr>
          <w:p w14:paraId="4A3A746A">
            <w:pPr>
              <w:ind w:right="57"/>
              <w:jc w:val="center"/>
              <w:rPr>
                <w:rFonts w:ascii="仿宋_GB2312" w:eastAsia="仿宋_GB2312"/>
                <w:sz w:val="24"/>
                <w:szCs w:val="24"/>
              </w:rPr>
            </w:pPr>
            <w:r>
              <w:rPr>
                <w:rFonts w:hint="eastAsia" w:ascii="仿宋_GB2312" w:hAnsi="Calibri" w:eastAsia="仿宋_GB2312" w:cs="Calibri"/>
                <w:sz w:val="24"/>
                <w:szCs w:val="24"/>
              </w:rPr>
              <w:t>NH</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PO</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auto" w:sz="4" w:space="0"/>
              <w:right w:val="single" w:color="000000" w:sz="4" w:space="0"/>
            </w:tcBorders>
            <w:vAlign w:val="center"/>
          </w:tcPr>
          <w:p w14:paraId="0D3C4A68">
            <w:pPr>
              <w:ind w:right="56"/>
              <w:jc w:val="center"/>
              <w:rPr>
                <w:rFonts w:ascii="仿宋_GB2312" w:eastAsia="仿宋_GB2312"/>
                <w:sz w:val="24"/>
                <w:szCs w:val="24"/>
              </w:rPr>
            </w:pPr>
            <w:r>
              <w:rPr>
                <w:rFonts w:hint="eastAsia" w:ascii="仿宋_GB2312" w:hAnsi="Calibri" w:eastAsia="仿宋_GB2312" w:cs="Calibri"/>
                <w:sz w:val="24"/>
                <w:szCs w:val="24"/>
              </w:rPr>
              <w:t xml:space="preserve">153 </w:t>
            </w:r>
          </w:p>
        </w:tc>
        <w:tc>
          <w:tcPr>
            <w:tcW w:w="708" w:type="dxa"/>
            <w:tcBorders>
              <w:top w:val="single" w:color="000000" w:sz="4" w:space="0"/>
              <w:left w:val="single" w:color="000000" w:sz="4" w:space="0"/>
              <w:bottom w:val="single" w:color="auto" w:sz="4" w:space="0"/>
              <w:right w:val="single" w:color="000000" w:sz="4" w:space="0"/>
            </w:tcBorders>
            <w:vAlign w:val="center"/>
          </w:tcPr>
          <w:p w14:paraId="68B14D96">
            <w:pPr>
              <w:ind w:left="120"/>
              <w:rPr>
                <w:rFonts w:ascii="仿宋_GB2312" w:eastAsia="仿宋_GB2312"/>
                <w:sz w:val="24"/>
                <w:szCs w:val="24"/>
              </w:rPr>
            </w:pPr>
            <w:r>
              <w:rPr>
                <w:rFonts w:hint="eastAsia" w:ascii="仿宋_GB2312" w:hAnsi="Calibri" w:eastAsia="仿宋_GB2312" w:cs="Calibri"/>
                <w:sz w:val="24"/>
                <w:szCs w:val="24"/>
              </w:rPr>
              <w:t xml:space="preserve">85 </w:t>
            </w:r>
          </w:p>
        </w:tc>
        <w:tc>
          <w:tcPr>
            <w:tcW w:w="994" w:type="dxa"/>
            <w:tcBorders>
              <w:top w:val="single" w:color="000000" w:sz="4" w:space="0"/>
              <w:left w:val="single" w:color="000000" w:sz="4" w:space="0"/>
              <w:bottom w:val="single" w:color="auto" w:sz="4" w:space="0"/>
              <w:right w:val="single" w:color="000000" w:sz="4" w:space="0"/>
            </w:tcBorders>
            <w:vAlign w:val="center"/>
          </w:tcPr>
          <w:p w14:paraId="3FC5FEAB">
            <w:pPr>
              <w:ind w:right="62"/>
              <w:jc w:val="center"/>
              <w:rPr>
                <w:rFonts w:ascii="仿宋_GB2312" w:eastAsia="仿宋_GB2312"/>
                <w:sz w:val="24"/>
                <w:szCs w:val="24"/>
              </w:rPr>
            </w:pPr>
            <w:r>
              <w:rPr>
                <w:rFonts w:hint="eastAsia" w:ascii="仿宋_GB2312" w:hAnsi="Calibri" w:eastAsia="仿宋_GB2312" w:cs="Calibri"/>
                <w:sz w:val="24"/>
                <w:szCs w:val="24"/>
              </w:rPr>
              <w:t xml:space="preserve">250 </w:t>
            </w:r>
          </w:p>
        </w:tc>
        <w:tc>
          <w:tcPr>
            <w:tcW w:w="1133" w:type="dxa"/>
            <w:tcBorders>
              <w:top w:val="single" w:color="000000" w:sz="4" w:space="0"/>
              <w:left w:val="single" w:color="000000" w:sz="4" w:space="0"/>
              <w:bottom w:val="single" w:color="auto" w:sz="4" w:space="0"/>
              <w:right w:val="single" w:color="000000" w:sz="4" w:space="0"/>
            </w:tcBorders>
            <w:vAlign w:val="center"/>
          </w:tcPr>
          <w:p w14:paraId="0B5D93EC">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auto" w:sz="4" w:space="0"/>
              <w:right w:val="single" w:color="000000" w:sz="4" w:space="0"/>
            </w:tcBorders>
            <w:vAlign w:val="center"/>
          </w:tcPr>
          <w:p w14:paraId="5F9B3FE4">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03AAD414">
        <w:tblPrEx>
          <w:tblCellMar>
            <w:top w:w="0" w:type="dxa"/>
            <w:left w:w="113" w:type="dxa"/>
            <w:bottom w:w="8" w:type="dxa"/>
            <w:right w:w="55" w:type="dxa"/>
          </w:tblCellMar>
        </w:tblPrEx>
        <w:trPr>
          <w:trHeight w:val="466" w:hRule="atLeast"/>
        </w:trPr>
        <w:tc>
          <w:tcPr>
            <w:tcW w:w="900" w:type="dxa"/>
            <w:vMerge w:val="restart"/>
            <w:tcBorders>
              <w:top w:val="single" w:color="auto" w:sz="4" w:space="0"/>
              <w:left w:val="single" w:color="auto" w:sz="4" w:space="0"/>
              <w:bottom w:val="nil"/>
              <w:right w:val="single" w:color="000000" w:sz="4" w:space="0"/>
            </w:tcBorders>
            <w:vAlign w:val="center"/>
          </w:tcPr>
          <w:p w14:paraId="32E3ECC1">
            <w:pPr>
              <w:ind w:right="58"/>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p>
        </w:tc>
        <w:tc>
          <w:tcPr>
            <w:tcW w:w="1841" w:type="dxa"/>
            <w:tcBorders>
              <w:top w:val="single" w:color="auto" w:sz="4" w:space="0"/>
              <w:left w:val="single" w:color="000000" w:sz="4" w:space="0"/>
              <w:bottom w:val="single" w:color="000000" w:sz="4" w:space="0"/>
              <w:right w:val="single" w:color="000000" w:sz="4" w:space="0"/>
            </w:tcBorders>
            <w:vAlign w:val="center"/>
          </w:tcPr>
          <w:p w14:paraId="469F53BB">
            <w:pPr>
              <w:ind w:right="55"/>
              <w:jc w:val="center"/>
              <w:rPr>
                <w:rFonts w:ascii="仿宋_GB2312" w:eastAsia="仿宋_GB2312"/>
                <w:sz w:val="24"/>
                <w:szCs w:val="24"/>
              </w:rPr>
            </w:pPr>
            <w:r>
              <w:rPr>
                <w:rFonts w:hint="eastAsia" w:ascii="仿宋_GB2312" w:hAnsi="Calibri" w:eastAsia="仿宋_GB2312" w:cs="Calibri"/>
                <w:sz w:val="24"/>
                <w:szCs w:val="24"/>
              </w:rPr>
              <w:t>FeSO</w:t>
            </w:r>
            <w:r>
              <w:rPr>
                <w:rFonts w:hint="eastAsia" w:ascii="仿宋_GB2312" w:hAnsi="Calibri" w:eastAsia="仿宋_GB2312" w:cs="Calibri"/>
                <w:sz w:val="24"/>
                <w:szCs w:val="24"/>
                <w:vertAlign w:val="subscript"/>
              </w:rPr>
              <w:t>4</w:t>
            </w:r>
            <w:r>
              <w:rPr>
                <w:rFonts w:hint="eastAsia"/>
                <w:sz w:val="24"/>
                <w:szCs w:val="24"/>
              </w:rPr>
              <w:t>﹒</w:t>
            </w:r>
            <w:r>
              <w:rPr>
                <w:rFonts w:hint="eastAsia" w:ascii="仿宋_GB2312" w:hAnsi="Calibri" w:eastAsia="仿宋_GB2312" w:cs="Calibri"/>
                <w:sz w:val="24"/>
                <w:szCs w:val="24"/>
              </w:rPr>
              <w:t>7H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O</w:t>
            </w:r>
          </w:p>
        </w:tc>
        <w:tc>
          <w:tcPr>
            <w:tcW w:w="1702" w:type="dxa"/>
            <w:tcBorders>
              <w:top w:val="single" w:color="auto" w:sz="4" w:space="0"/>
              <w:left w:val="single" w:color="000000" w:sz="4" w:space="0"/>
              <w:bottom w:val="single" w:color="000000" w:sz="4" w:space="0"/>
              <w:right w:val="single" w:color="000000" w:sz="4" w:space="0"/>
            </w:tcBorders>
            <w:vAlign w:val="center"/>
          </w:tcPr>
          <w:p w14:paraId="47912D24">
            <w:pPr>
              <w:ind w:right="57"/>
              <w:jc w:val="center"/>
              <w:rPr>
                <w:rFonts w:ascii="仿宋_GB2312" w:eastAsia="仿宋_GB2312"/>
                <w:sz w:val="24"/>
                <w:szCs w:val="24"/>
              </w:rPr>
            </w:pPr>
            <w:r>
              <w:rPr>
                <w:rFonts w:hint="eastAsia" w:ascii="仿宋_GB2312" w:hAnsi="Calibri" w:eastAsia="仿宋_GB2312" w:cs="Calibri"/>
                <w:sz w:val="24"/>
                <w:szCs w:val="24"/>
              </w:rPr>
              <w:t>13.9</w:t>
            </w:r>
          </w:p>
        </w:tc>
        <w:tc>
          <w:tcPr>
            <w:tcW w:w="708" w:type="dxa"/>
            <w:vMerge w:val="restart"/>
            <w:tcBorders>
              <w:top w:val="single" w:color="auto" w:sz="4" w:space="0"/>
              <w:left w:val="single" w:color="000000" w:sz="4" w:space="0"/>
              <w:bottom w:val="nil"/>
              <w:right w:val="single" w:color="000000" w:sz="4" w:space="0"/>
            </w:tcBorders>
            <w:vAlign w:val="center"/>
          </w:tcPr>
          <w:p w14:paraId="1E2C6555">
            <w:pPr>
              <w:ind w:left="60"/>
              <w:jc w:val="center"/>
              <w:rPr>
                <w:rFonts w:ascii="仿宋_GB2312" w:eastAsia="仿宋_GB2312"/>
                <w:sz w:val="24"/>
                <w:szCs w:val="24"/>
              </w:rPr>
            </w:pPr>
            <w:r>
              <w:rPr>
                <w:rFonts w:hint="eastAsia" w:ascii="仿宋_GB2312" w:hAnsi="Calibri" w:eastAsia="仿宋_GB2312" w:cs="Calibri"/>
                <w:sz w:val="24"/>
                <w:szCs w:val="24"/>
              </w:rPr>
              <w:t>160</w:t>
            </w:r>
          </w:p>
        </w:tc>
        <w:tc>
          <w:tcPr>
            <w:tcW w:w="994" w:type="dxa"/>
            <w:vMerge w:val="restart"/>
            <w:tcBorders>
              <w:top w:val="single" w:color="auto" w:sz="4" w:space="0"/>
              <w:left w:val="single" w:color="000000" w:sz="4" w:space="0"/>
              <w:bottom w:val="nil"/>
              <w:right w:val="single" w:color="000000" w:sz="4" w:space="0"/>
            </w:tcBorders>
            <w:vAlign w:val="center"/>
          </w:tcPr>
          <w:p w14:paraId="51E7B26F">
            <w:pPr>
              <w:ind w:right="62"/>
              <w:jc w:val="center"/>
              <w:rPr>
                <w:rFonts w:ascii="仿宋_GB2312" w:eastAsia="仿宋_GB2312"/>
                <w:sz w:val="24"/>
                <w:szCs w:val="24"/>
              </w:rPr>
            </w:pPr>
            <w:r>
              <w:rPr>
                <w:rFonts w:hint="eastAsia" w:ascii="仿宋_GB2312" w:hAnsi="Calibri" w:eastAsia="仿宋_GB2312" w:cs="Calibri"/>
                <w:sz w:val="24"/>
                <w:szCs w:val="24"/>
              </w:rPr>
              <w:t>250</w:t>
            </w:r>
          </w:p>
        </w:tc>
        <w:tc>
          <w:tcPr>
            <w:tcW w:w="1133" w:type="dxa"/>
            <w:tcBorders>
              <w:top w:val="single" w:color="auto" w:sz="4" w:space="0"/>
              <w:left w:val="single" w:color="000000" w:sz="4" w:space="0"/>
              <w:bottom w:val="single" w:color="000000" w:sz="4" w:space="0"/>
              <w:right w:val="single" w:color="000000" w:sz="4" w:space="0"/>
            </w:tcBorders>
            <w:vAlign w:val="center"/>
          </w:tcPr>
          <w:p w14:paraId="20747228">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auto" w:sz="4" w:space="0"/>
              <w:left w:val="single" w:color="000000" w:sz="4" w:space="0"/>
              <w:bottom w:val="single" w:color="000000" w:sz="4" w:space="0"/>
              <w:right w:val="single" w:color="auto" w:sz="4" w:space="0"/>
            </w:tcBorders>
            <w:vAlign w:val="center"/>
          </w:tcPr>
          <w:p w14:paraId="10F4094C">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029A0438">
        <w:tblPrEx>
          <w:tblCellMar>
            <w:top w:w="0" w:type="dxa"/>
            <w:left w:w="113" w:type="dxa"/>
            <w:bottom w:w="8" w:type="dxa"/>
            <w:right w:w="55" w:type="dxa"/>
          </w:tblCellMar>
        </w:tblPrEx>
        <w:trPr>
          <w:trHeight w:val="163" w:hRule="atLeast"/>
        </w:trPr>
        <w:tc>
          <w:tcPr>
            <w:tcW w:w="0" w:type="auto"/>
            <w:vMerge w:val="continue"/>
            <w:tcBorders>
              <w:top w:val="nil"/>
              <w:left w:val="single" w:color="auto" w:sz="4" w:space="0"/>
              <w:bottom w:val="single" w:color="auto" w:sz="4" w:space="0"/>
              <w:right w:val="single" w:color="000000" w:sz="4" w:space="0"/>
            </w:tcBorders>
          </w:tcPr>
          <w:p w14:paraId="1BA585C4">
            <w:pPr>
              <w:spacing w:after="160"/>
              <w:rPr>
                <w:rFonts w:ascii="仿宋_GB2312" w:eastAsia="仿宋_GB2312"/>
                <w:sz w:val="24"/>
                <w:szCs w:val="24"/>
              </w:rPr>
            </w:pPr>
          </w:p>
        </w:tc>
        <w:tc>
          <w:tcPr>
            <w:tcW w:w="1841" w:type="dxa"/>
            <w:tcBorders>
              <w:top w:val="single" w:color="000000" w:sz="4" w:space="0"/>
              <w:left w:val="single" w:color="000000" w:sz="4" w:space="0"/>
              <w:bottom w:val="single" w:color="auto" w:sz="4" w:space="0"/>
              <w:right w:val="single" w:color="000000" w:sz="4" w:space="0"/>
            </w:tcBorders>
            <w:vAlign w:val="center"/>
          </w:tcPr>
          <w:p w14:paraId="1C38B769">
            <w:pPr>
              <w:ind w:right="56"/>
              <w:jc w:val="center"/>
              <w:rPr>
                <w:rFonts w:ascii="仿宋_GB2312" w:eastAsia="仿宋_GB2312"/>
                <w:sz w:val="24"/>
                <w:szCs w:val="24"/>
              </w:rPr>
            </w:pPr>
            <w:r>
              <w:rPr>
                <w:rFonts w:hint="eastAsia" w:ascii="仿宋_GB2312" w:hAnsi="Calibri" w:eastAsia="仿宋_GB2312" w:cs="Calibri"/>
                <w:sz w:val="24"/>
                <w:szCs w:val="24"/>
              </w:rPr>
              <w:t>Na</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-EDTA</w:t>
            </w:r>
          </w:p>
        </w:tc>
        <w:tc>
          <w:tcPr>
            <w:tcW w:w="1702" w:type="dxa"/>
            <w:tcBorders>
              <w:top w:val="single" w:color="000000" w:sz="4" w:space="0"/>
              <w:left w:val="single" w:color="000000" w:sz="4" w:space="0"/>
              <w:bottom w:val="single" w:color="auto" w:sz="4" w:space="0"/>
              <w:right w:val="single" w:color="000000" w:sz="4" w:space="0"/>
            </w:tcBorders>
            <w:vAlign w:val="center"/>
          </w:tcPr>
          <w:p w14:paraId="3ECC25CE">
            <w:pPr>
              <w:ind w:right="57"/>
              <w:jc w:val="center"/>
              <w:rPr>
                <w:rFonts w:ascii="仿宋_GB2312" w:eastAsia="仿宋_GB2312"/>
                <w:sz w:val="24"/>
                <w:szCs w:val="24"/>
              </w:rPr>
            </w:pPr>
            <w:r>
              <w:rPr>
                <w:rFonts w:hint="eastAsia" w:ascii="仿宋_GB2312" w:hAnsi="Calibri" w:eastAsia="仿宋_GB2312" w:cs="Calibri"/>
                <w:sz w:val="24"/>
                <w:szCs w:val="24"/>
              </w:rPr>
              <w:t>18.6</w:t>
            </w:r>
          </w:p>
        </w:tc>
        <w:tc>
          <w:tcPr>
            <w:tcW w:w="0" w:type="auto"/>
            <w:vMerge w:val="continue"/>
            <w:tcBorders>
              <w:top w:val="nil"/>
              <w:left w:val="single" w:color="000000" w:sz="4" w:space="0"/>
              <w:bottom w:val="single" w:color="auto" w:sz="4" w:space="0"/>
              <w:right w:val="single" w:color="000000" w:sz="4" w:space="0"/>
            </w:tcBorders>
            <w:vAlign w:val="center"/>
          </w:tcPr>
          <w:p w14:paraId="1BB88799">
            <w:pPr>
              <w:spacing w:after="160"/>
              <w:jc w:val="center"/>
              <w:rPr>
                <w:rFonts w:ascii="仿宋_GB2312" w:eastAsia="仿宋_GB2312"/>
                <w:sz w:val="24"/>
                <w:szCs w:val="24"/>
              </w:rPr>
            </w:pPr>
          </w:p>
        </w:tc>
        <w:tc>
          <w:tcPr>
            <w:tcW w:w="0" w:type="auto"/>
            <w:vMerge w:val="continue"/>
            <w:tcBorders>
              <w:top w:val="nil"/>
              <w:left w:val="single" w:color="000000" w:sz="4" w:space="0"/>
              <w:bottom w:val="single" w:color="auto" w:sz="4" w:space="0"/>
              <w:right w:val="single" w:color="000000" w:sz="4" w:space="0"/>
            </w:tcBorders>
            <w:vAlign w:val="center"/>
          </w:tcPr>
          <w:p w14:paraId="05F1AA39">
            <w:pPr>
              <w:spacing w:after="160"/>
              <w:jc w:val="center"/>
              <w:rPr>
                <w:rFonts w:ascii="仿宋_GB2312" w:eastAsia="仿宋_GB2312"/>
                <w:sz w:val="24"/>
                <w:szCs w:val="24"/>
              </w:rPr>
            </w:pPr>
          </w:p>
        </w:tc>
        <w:tc>
          <w:tcPr>
            <w:tcW w:w="1133" w:type="dxa"/>
            <w:tcBorders>
              <w:top w:val="single" w:color="000000" w:sz="4" w:space="0"/>
              <w:left w:val="single" w:color="000000" w:sz="4" w:space="0"/>
              <w:bottom w:val="single" w:color="auto" w:sz="4" w:space="0"/>
              <w:right w:val="single" w:color="000000" w:sz="4" w:space="0"/>
            </w:tcBorders>
          </w:tcPr>
          <w:p w14:paraId="44A0407C">
            <w:pPr>
              <w:spacing w:after="160"/>
              <w:rPr>
                <w:rFonts w:ascii="仿宋_GB2312" w:eastAsia="仿宋_GB2312"/>
                <w:sz w:val="24"/>
                <w:szCs w:val="24"/>
              </w:rPr>
            </w:pPr>
          </w:p>
        </w:tc>
        <w:tc>
          <w:tcPr>
            <w:tcW w:w="1280" w:type="dxa"/>
            <w:tcBorders>
              <w:top w:val="single" w:color="000000" w:sz="4" w:space="0"/>
              <w:left w:val="single" w:color="000000" w:sz="4" w:space="0"/>
              <w:bottom w:val="single" w:color="auto" w:sz="4" w:space="0"/>
              <w:right w:val="single" w:color="auto" w:sz="4" w:space="0"/>
            </w:tcBorders>
          </w:tcPr>
          <w:p w14:paraId="119AD2E6">
            <w:pPr>
              <w:spacing w:after="160"/>
              <w:rPr>
                <w:rFonts w:ascii="仿宋_GB2312" w:eastAsia="仿宋_GB2312"/>
                <w:sz w:val="24"/>
                <w:szCs w:val="24"/>
              </w:rPr>
            </w:pPr>
          </w:p>
        </w:tc>
      </w:tr>
    </w:tbl>
    <w:p w14:paraId="0C6846E4">
      <w:pPr>
        <w:spacing w:before="312" w:beforeLines="100" w:after="312" w:afterLines="100"/>
        <w:ind w:left="-6" w:hanging="11"/>
        <w:rPr>
          <w:rFonts w:ascii="仿宋_GB2312" w:eastAsia="仿宋_GB2312"/>
          <w:b/>
          <w:sz w:val="30"/>
        </w:rPr>
      </w:pPr>
      <w:r>
        <w:rPr>
          <w:rFonts w:ascii="仿宋_GB2312" w:eastAsia="仿宋_GB2312"/>
          <w:b/>
          <w:sz w:val="30"/>
        </w:rPr>
        <w:t xml:space="preserve">二、工作液配制 </w:t>
      </w:r>
    </w:p>
    <w:tbl>
      <w:tblPr>
        <w:tblStyle w:val="11"/>
        <w:tblW w:w="8529" w:type="dxa"/>
        <w:tblInd w:w="-108" w:type="dxa"/>
        <w:tblLayout w:type="autofit"/>
        <w:tblCellMar>
          <w:top w:w="0" w:type="dxa"/>
          <w:left w:w="108" w:type="dxa"/>
          <w:bottom w:w="0" w:type="dxa"/>
          <w:right w:w="17" w:type="dxa"/>
        </w:tblCellMar>
      </w:tblPr>
      <w:tblGrid>
        <w:gridCol w:w="1682"/>
        <w:gridCol w:w="2235"/>
        <w:gridCol w:w="1724"/>
        <w:gridCol w:w="1549"/>
        <w:gridCol w:w="1339"/>
      </w:tblGrid>
      <w:tr w14:paraId="7AB01D89">
        <w:tblPrEx>
          <w:tblCellMar>
            <w:top w:w="0" w:type="dxa"/>
            <w:left w:w="108" w:type="dxa"/>
            <w:bottom w:w="0" w:type="dxa"/>
            <w:right w:w="17" w:type="dxa"/>
          </w:tblCellMar>
        </w:tblPrEx>
        <w:trPr>
          <w:trHeight w:val="554"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09C8B2E0">
            <w:pPr>
              <w:ind w:right="89"/>
              <w:jc w:val="center"/>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2235" w:type="dxa"/>
            <w:tcBorders>
              <w:top w:val="single" w:color="000000" w:sz="4" w:space="0"/>
              <w:left w:val="single" w:color="000000" w:sz="4" w:space="0"/>
              <w:bottom w:val="single" w:color="000000" w:sz="4" w:space="0"/>
              <w:right w:val="single" w:color="000000" w:sz="4" w:space="0"/>
            </w:tcBorders>
            <w:vAlign w:val="center"/>
          </w:tcPr>
          <w:p w14:paraId="044B23A6">
            <w:pPr>
              <w:jc w:val="center"/>
              <w:rPr>
                <w:rFonts w:ascii="仿宋_GB2312" w:eastAsia="仿宋_GB2312"/>
                <w:sz w:val="24"/>
                <w:szCs w:val="24"/>
              </w:rPr>
            </w:pPr>
            <w:r>
              <w:rPr>
                <w:rFonts w:hint="eastAsia" w:ascii="仿宋_GB2312" w:eastAsia="仿宋_GB2312"/>
                <w:sz w:val="24"/>
                <w:szCs w:val="24"/>
              </w:rPr>
              <w:t>配制工作液体积（</w:t>
            </w:r>
            <w:r>
              <w:rPr>
                <w:rFonts w:hint="eastAsia" w:ascii="仿宋_GB2312" w:hAnsi="Calibri" w:eastAsia="仿宋_GB2312" w:cs="Calibri"/>
                <w:sz w:val="24"/>
                <w:szCs w:val="24"/>
              </w:rPr>
              <w:t>ml</w:t>
            </w:r>
            <w:r>
              <w:rPr>
                <w:rFonts w:hint="eastAsia" w:ascii="仿宋_GB2312" w:eastAsia="仿宋_GB2312"/>
                <w:sz w:val="24"/>
                <w:szCs w:val="24"/>
              </w:rPr>
              <w:t>）</w:t>
            </w:r>
          </w:p>
        </w:tc>
        <w:tc>
          <w:tcPr>
            <w:tcW w:w="1724" w:type="dxa"/>
            <w:tcBorders>
              <w:top w:val="single" w:color="000000" w:sz="4" w:space="0"/>
              <w:left w:val="single" w:color="000000" w:sz="4" w:space="0"/>
              <w:bottom w:val="single" w:color="000000" w:sz="4" w:space="0"/>
              <w:right w:val="single" w:color="000000" w:sz="4" w:space="0"/>
            </w:tcBorders>
            <w:vAlign w:val="center"/>
          </w:tcPr>
          <w:p w14:paraId="319EEB3D">
            <w:pPr>
              <w:ind w:right="94"/>
              <w:jc w:val="center"/>
              <w:rPr>
                <w:rFonts w:ascii="仿宋_GB2312" w:eastAsia="仿宋_GB2312"/>
                <w:sz w:val="24"/>
                <w:szCs w:val="24"/>
              </w:rPr>
            </w:pPr>
            <w:r>
              <w:rPr>
                <w:rFonts w:hint="eastAsia" w:ascii="仿宋_GB2312" w:eastAsia="仿宋_GB2312"/>
                <w:sz w:val="24"/>
                <w:szCs w:val="24"/>
              </w:rPr>
              <w:t>配制剂量</w:t>
            </w:r>
            <w:r>
              <w:rPr>
                <w:rFonts w:hint="eastAsia" w:ascii="仿宋_GB2312" w:hAnsi="Calibri" w:eastAsia="仿宋_GB2312" w:cs="Calibri"/>
                <w:sz w:val="24"/>
                <w:szCs w:val="24"/>
              </w:rPr>
              <w:t xml:space="preserve"> </w:t>
            </w:r>
          </w:p>
        </w:tc>
        <w:tc>
          <w:tcPr>
            <w:tcW w:w="1549" w:type="dxa"/>
            <w:tcBorders>
              <w:top w:val="single" w:color="000000" w:sz="4" w:space="0"/>
              <w:left w:val="single" w:color="000000" w:sz="4" w:space="0"/>
              <w:bottom w:val="single" w:color="000000" w:sz="4" w:space="0"/>
              <w:right w:val="single" w:color="000000" w:sz="4" w:space="0"/>
            </w:tcBorders>
          </w:tcPr>
          <w:p w14:paraId="7661BC87">
            <w:pPr>
              <w:spacing w:after="27"/>
              <w:ind w:left="245"/>
              <w:rPr>
                <w:rFonts w:ascii="仿宋_GB2312" w:eastAsia="仿宋_GB2312"/>
                <w:sz w:val="24"/>
                <w:szCs w:val="24"/>
              </w:rPr>
            </w:pPr>
            <w:r>
              <w:rPr>
                <w:rFonts w:hint="eastAsia" w:ascii="仿宋_GB2312" w:eastAsia="仿宋_GB2312"/>
                <w:sz w:val="24"/>
                <w:szCs w:val="24"/>
              </w:rPr>
              <w:t>理论移取</w:t>
            </w:r>
            <w:r>
              <w:rPr>
                <w:rFonts w:hint="eastAsia" w:ascii="仿宋_GB2312" w:hAnsi="Calibri" w:eastAsia="仿宋_GB2312" w:cs="Calibri"/>
                <w:sz w:val="24"/>
                <w:szCs w:val="24"/>
              </w:rPr>
              <w:t xml:space="preserve"> </w:t>
            </w:r>
          </w:p>
          <w:p w14:paraId="6C635DF8">
            <w:pPr>
              <w:ind w:right="92"/>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 xml:space="preserve">(ml) </w:t>
            </w:r>
          </w:p>
        </w:tc>
        <w:tc>
          <w:tcPr>
            <w:tcW w:w="1339" w:type="dxa"/>
            <w:tcBorders>
              <w:top w:val="single" w:color="000000" w:sz="4" w:space="0"/>
              <w:left w:val="single" w:color="000000" w:sz="4" w:space="0"/>
              <w:bottom w:val="single" w:color="000000" w:sz="4" w:space="0"/>
              <w:right w:val="single" w:color="000000" w:sz="4" w:space="0"/>
            </w:tcBorders>
          </w:tcPr>
          <w:p w14:paraId="2DADEAF5">
            <w:pPr>
              <w:spacing w:after="27"/>
              <w:ind w:left="142"/>
              <w:rPr>
                <w:rFonts w:ascii="仿宋_GB2312" w:eastAsia="仿宋_GB2312"/>
                <w:sz w:val="24"/>
                <w:szCs w:val="24"/>
              </w:rPr>
            </w:pPr>
            <w:r>
              <w:rPr>
                <w:rFonts w:hint="eastAsia" w:ascii="仿宋_GB2312" w:eastAsia="仿宋_GB2312"/>
                <w:sz w:val="24"/>
                <w:szCs w:val="24"/>
              </w:rPr>
              <w:t>实际移取</w:t>
            </w:r>
            <w:r>
              <w:rPr>
                <w:rFonts w:hint="eastAsia" w:ascii="仿宋_GB2312" w:hAnsi="Calibri" w:eastAsia="仿宋_GB2312" w:cs="Calibri"/>
                <w:sz w:val="24"/>
                <w:szCs w:val="24"/>
              </w:rPr>
              <w:t xml:space="preserve"> </w:t>
            </w:r>
          </w:p>
          <w:p w14:paraId="10D1C178">
            <w:pPr>
              <w:ind w:left="74"/>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(ml)</w:t>
            </w:r>
          </w:p>
        </w:tc>
      </w:tr>
      <w:tr w14:paraId="575EF0B7">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2E2E9617">
            <w:pPr>
              <w:ind w:right="91"/>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2235" w:type="dxa"/>
            <w:vMerge w:val="restart"/>
            <w:tcBorders>
              <w:top w:val="single" w:color="000000" w:sz="4" w:space="0"/>
              <w:left w:val="single" w:color="000000" w:sz="4" w:space="0"/>
              <w:bottom w:val="single" w:color="000000" w:sz="4" w:space="0"/>
              <w:right w:val="single" w:color="000000" w:sz="4" w:space="0"/>
            </w:tcBorders>
            <w:vAlign w:val="center"/>
          </w:tcPr>
          <w:p w14:paraId="5788510C">
            <w:pPr>
              <w:ind w:right="89"/>
              <w:jc w:val="center"/>
              <w:rPr>
                <w:rFonts w:ascii="仿宋_GB2312" w:eastAsia="仿宋_GB2312"/>
                <w:sz w:val="24"/>
                <w:szCs w:val="24"/>
              </w:rPr>
            </w:pPr>
            <w:r>
              <w:rPr>
                <w:rFonts w:hint="eastAsia" w:ascii="仿宋_GB2312" w:hAnsi="Calibri" w:eastAsia="仿宋_GB2312" w:cs="Calibri"/>
                <w:sz w:val="24"/>
                <w:szCs w:val="24"/>
              </w:rPr>
              <w:t xml:space="preserve">1000 </w:t>
            </w:r>
          </w:p>
        </w:tc>
        <w:tc>
          <w:tcPr>
            <w:tcW w:w="1724" w:type="dxa"/>
            <w:tcBorders>
              <w:top w:val="single" w:color="000000" w:sz="4" w:space="0"/>
              <w:left w:val="single" w:color="000000" w:sz="4" w:space="0"/>
              <w:bottom w:val="single" w:color="000000" w:sz="4" w:space="0"/>
              <w:right w:val="single" w:color="000000" w:sz="4" w:space="0"/>
            </w:tcBorders>
          </w:tcPr>
          <w:p w14:paraId="547538E2">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1</m:t>
                    </m:r>
                    <m:ctrlPr>
                      <w:rPr>
                        <w:rFonts w:hint="eastAsia" w:ascii="Cambria Math" w:hAnsi="Cambria Math" w:eastAsia="仿宋_GB2312"/>
                        <w:sz w:val="24"/>
                        <w:szCs w:val="24"/>
                      </w:rPr>
                    </m:ctrlPr>
                  </m:num>
                  <m:den>
                    <m:r>
                      <m:rPr/>
                      <w:rPr>
                        <w:rFonts w:hint="eastAsia" w:ascii="Cambria Math" w:hAnsi="Cambria Math" w:eastAsia="仿宋_GB2312"/>
                        <w:sz w:val="24"/>
                        <w:szCs w:val="24"/>
                      </w:rPr>
                      <m:t>6</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791D2147">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09C9EA6F">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1042C287">
        <w:tblPrEx>
          <w:tblCellMar>
            <w:top w:w="0" w:type="dxa"/>
            <w:left w:w="108" w:type="dxa"/>
            <w:bottom w:w="0" w:type="dxa"/>
            <w:right w:w="17" w:type="dxa"/>
          </w:tblCellMar>
        </w:tblPrEx>
        <w:trPr>
          <w:trHeight w:val="651"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4541824B">
            <w:pPr>
              <w:ind w:right="89"/>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nil"/>
              <w:right w:val="single" w:color="000000" w:sz="4" w:space="0"/>
            </w:tcBorders>
          </w:tcPr>
          <w:p w14:paraId="082BBC49">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68B98EDF">
            <w:pPr>
              <w:rPr>
                <w:rFonts w:ascii="仿宋_GB2312" w:eastAsia="仿宋_GB2312"/>
                <w:sz w:val="24"/>
                <w:szCs w:val="24"/>
              </w:rPr>
            </w:pPr>
            <m:oMathPara>
              <m:oMathParaPr>
                <m:jc m:val="center"/>
              </m:oMathParaPr>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2</m:t>
                    </m:r>
                    <m:ctrlPr>
                      <w:rPr>
                        <w:rFonts w:hint="eastAsia" w:ascii="Cambria Math" w:hAnsi="Cambria Math" w:eastAsia="仿宋_GB2312"/>
                        <w:sz w:val="24"/>
                        <w:szCs w:val="24"/>
                      </w:rPr>
                    </m:ctrlPr>
                  </m:num>
                  <m:den>
                    <m:r>
                      <m:rPr/>
                      <w:rPr>
                        <w:rFonts w:hint="eastAsia" w:ascii="Cambria Math" w:hAnsi="Cambria Math" w:eastAsia="仿宋_GB2312"/>
                        <w:sz w:val="24"/>
                        <w:szCs w:val="24"/>
                      </w:rPr>
                      <m:t>3</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0053239E">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3F38A8A3">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1148397B">
        <w:tblPrEx>
          <w:tblCellMar>
            <w:top w:w="0" w:type="dxa"/>
            <w:left w:w="108" w:type="dxa"/>
            <w:bottom w:w="0" w:type="dxa"/>
            <w:right w:w="17" w:type="dxa"/>
          </w:tblCellMar>
        </w:tblPrEx>
        <w:trPr>
          <w:trHeight w:val="653"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6C4F017F">
            <w:pPr>
              <w:ind w:right="91"/>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single" w:color="000000" w:sz="4" w:space="0"/>
              <w:right w:val="single" w:color="000000" w:sz="4" w:space="0"/>
            </w:tcBorders>
          </w:tcPr>
          <w:p w14:paraId="7416FE86">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0DCB9443">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2</m:t>
                    </m:r>
                    <m:ctrlPr>
                      <w:rPr>
                        <w:rFonts w:hint="eastAsia" w:ascii="Cambria Math" w:hAnsi="Cambria Math" w:eastAsia="仿宋_GB2312"/>
                        <w:sz w:val="24"/>
                        <w:szCs w:val="24"/>
                      </w:rPr>
                    </m:ctrlPr>
                  </m:num>
                  <m:den>
                    <m:r>
                      <m:rPr/>
                      <w:rPr>
                        <w:rFonts w:hint="eastAsia" w:ascii="Cambria Math" w:hAnsi="Cambria Math" w:eastAsia="仿宋_GB2312"/>
                        <w:sz w:val="24"/>
                        <w:szCs w:val="24"/>
                      </w:rPr>
                      <m:t>7</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2E86EE8F">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12B9A6A5">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bl>
    <w:p w14:paraId="09839ED7">
      <w:pPr>
        <w:spacing w:before="312" w:beforeLines="100" w:after="312" w:afterLines="100"/>
        <w:ind w:left="-6" w:hanging="11"/>
        <w:rPr>
          <w:rFonts w:hint="eastAsia" w:ascii="仿宋_GB2312" w:eastAsia="仿宋_GB2312"/>
          <w:b/>
          <w:sz w:val="30"/>
        </w:rPr>
      </w:pPr>
      <w:r>
        <w:rPr>
          <w:rFonts w:hint="eastAsia" w:ascii="仿宋_GB2312" w:eastAsia="仿宋_GB2312"/>
          <w:b/>
          <w:sz w:val="30"/>
        </w:rPr>
        <w:t>实际操作结束时间（根据现场钟表填写）：</w:t>
      </w:r>
    </w:p>
    <w:p w14:paraId="2E8F06D7">
      <w:pPr>
        <w:ind w:left="-5"/>
      </w:pPr>
    </w:p>
    <w:p w14:paraId="541FDFCA">
      <w:pPr>
        <w:ind w:left="-5"/>
      </w:pPr>
    </w:p>
    <w:p w14:paraId="28142D6E">
      <w:pPr>
        <w:spacing w:after="188"/>
        <w:jc w:val="center"/>
        <w:rPr>
          <w:rFonts w:ascii="方正小标宋简体" w:eastAsia="方正小标宋简体"/>
          <w:sz w:val="36"/>
        </w:rPr>
      </w:pPr>
      <w:r>
        <w:rPr>
          <w:rFonts w:hint="eastAsia" w:ascii="方正小标宋简体" w:eastAsia="方正小标宋简体"/>
          <w:sz w:val="36"/>
          <w:lang w:val="en-US" w:eastAsia="zh-CN"/>
        </w:rPr>
        <w:t>2025年河北省</w:t>
      </w:r>
      <w:r>
        <w:rPr>
          <w:rFonts w:ascii="方正小标宋简体" w:eastAsia="方正小标宋简体"/>
          <w:sz w:val="36"/>
        </w:rPr>
        <w:t>职业院校技能大赛</w:t>
      </w:r>
      <w:r>
        <w:rPr>
          <w:rFonts w:hint="eastAsia" w:ascii="方正小标宋简体" w:eastAsia="方正小标宋简体"/>
          <w:sz w:val="36"/>
        </w:rPr>
        <w:t>植物嫁接</w:t>
      </w:r>
      <w:r>
        <w:rPr>
          <w:rFonts w:ascii="方正小标宋简体" w:eastAsia="方正小标宋简体"/>
          <w:sz w:val="36"/>
        </w:rPr>
        <w:t xml:space="preserve">赛项 </w:t>
      </w:r>
    </w:p>
    <w:p w14:paraId="2A1C8E3C">
      <w:pPr>
        <w:spacing w:after="188"/>
        <w:jc w:val="center"/>
        <w:rPr>
          <w:rFonts w:ascii="方正小标宋简体" w:eastAsia="方正小标宋简体"/>
          <w:sz w:val="36"/>
        </w:rPr>
      </w:pPr>
      <w:r>
        <w:rPr>
          <w:rFonts w:ascii="方正小标宋简体" w:eastAsia="方正小标宋简体"/>
          <w:sz w:val="36"/>
        </w:rPr>
        <w:t>营养液配制操作试题（</w:t>
      </w:r>
      <w:r>
        <w:rPr>
          <w:rFonts w:hint="eastAsia" w:ascii="方正小标宋简体" w:eastAsia="方正小标宋简体"/>
          <w:sz w:val="36"/>
        </w:rPr>
        <w:t>五</w:t>
      </w:r>
      <w:r>
        <w:rPr>
          <w:rFonts w:ascii="方正小标宋简体" w:eastAsia="方正小标宋简体"/>
          <w:sz w:val="36"/>
        </w:rPr>
        <w:t xml:space="preserve">） </w:t>
      </w:r>
    </w:p>
    <w:p w14:paraId="18847343">
      <w:pPr>
        <w:spacing w:before="312" w:beforeLines="100" w:after="312" w:afterLines="100"/>
        <w:ind w:left="-6" w:hanging="11"/>
        <w:rPr>
          <w:rFonts w:ascii="仿宋_GB2312" w:eastAsia="仿宋_GB2312"/>
          <w:b/>
          <w:sz w:val="30"/>
        </w:rPr>
      </w:pPr>
      <w:r>
        <w:rPr>
          <w:rFonts w:hint="eastAsia" w:ascii="仿宋_GB2312" w:eastAsia="仿宋_GB2312"/>
          <w:b/>
          <w:sz w:val="30"/>
        </w:rPr>
        <w:t>工位号：                    分数：</w:t>
      </w:r>
    </w:p>
    <w:p w14:paraId="6964A6CE">
      <w:pPr>
        <w:spacing w:before="312" w:beforeLines="100" w:after="312" w:afterLines="100"/>
        <w:ind w:left="-6" w:hanging="11"/>
        <w:rPr>
          <w:rFonts w:ascii="仿宋_GB2312" w:eastAsia="仿宋_GB2312"/>
          <w:b/>
        </w:rPr>
      </w:pPr>
      <w:r>
        <w:rPr>
          <w:rFonts w:hint="eastAsia" w:ascii="仿宋_GB2312" w:eastAsia="仿宋_GB2312"/>
          <w:b/>
          <w:sz w:val="30"/>
        </w:rPr>
        <w:t xml:space="preserve">一、母液配制 </w:t>
      </w:r>
    </w:p>
    <w:tbl>
      <w:tblPr>
        <w:tblStyle w:val="11"/>
        <w:tblW w:w="8558" w:type="dxa"/>
        <w:tblInd w:w="-122" w:type="dxa"/>
        <w:tblLayout w:type="autofit"/>
        <w:tblCellMar>
          <w:top w:w="0" w:type="dxa"/>
          <w:left w:w="113" w:type="dxa"/>
          <w:bottom w:w="8" w:type="dxa"/>
          <w:right w:w="55" w:type="dxa"/>
        </w:tblCellMar>
      </w:tblPr>
      <w:tblGrid>
        <w:gridCol w:w="900"/>
        <w:gridCol w:w="1841"/>
        <w:gridCol w:w="1702"/>
        <w:gridCol w:w="708"/>
        <w:gridCol w:w="994"/>
        <w:gridCol w:w="1133"/>
        <w:gridCol w:w="1280"/>
      </w:tblGrid>
      <w:tr w14:paraId="3A184BBE">
        <w:tblPrEx>
          <w:tblCellMar>
            <w:top w:w="0" w:type="dxa"/>
            <w:left w:w="113" w:type="dxa"/>
            <w:bottom w:w="8" w:type="dxa"/>
            <w:right w:w="55" w:type="dxa"/>
          </w:tblCellMar>
        </w:tblPrEx>
        <w:trPr>
          <w:trHeight w:val="812"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65802FBB">
            <w:pPr>
              <w:ind w:left="127"/>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2F97AC3B">
            <w:pPr>
              <w:ind w:right="56"/>
              <w:jc w:val="center"/>
              <w:rPr>
                <w:rFonts w:ascii="仿宋_GB2312" w:eastAsia="仿宋_GB2312"/>
                <w:sz w:val="24"/>
                <w:szCs w:val="24"/>
              </w:rPr>
            </w:pPr>
            <w:r>
              <w:rPr>
                <w:rFonts w:hint="eastAsia" w:ascii="仿宋_GB2312" w:eastAsia="仿宋_GB2312"/>
                <w:sz w:val="24"/>
                <w:szCs w:val="24"/>
              </w:rPr>
              <w:t>成份</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0A62D297">
            <w:pPr>
              <w:ind w:left="36"/>
              <w:jc w:val="center"/>
              <w:rPr>
                <w:rFonts w:ascii="仿宋_GB2312" w:eastAsia="仿宋_GB2312"/>
                <w:sz w:val="24"/>
                <w:szCs w:val="24"/>
              </w:rPr>
            </w:pPr>
            <w:r>
              <w:rPr>
                <w:rFonts w:hint="eastAsia" w:ascii="仿宋_GB2312" w:eastAsia="仿宋_GB2312"/>
                <w:sz w:val="24"/>
                <w:szCs w:val="24"/>
              </w:rPr>
              <w:t>标准用量</w:t>
            </w:r>
            <w:r>
              <w:rPr>
                <w:rFonts w:hint="eastAsia" w:ascii="仿宋_GB2312" w:hAnsi="Calibri" w:eastAsia="仿宋_GB2312" w:cs="Calibri"/>
                <w:sz w:val="24"/>
                <w:szCs w:val="24"/>
              </w:rPr>
              <w:t>(mg/L)</w:t>
            </w:r>
          </w:p>
        </w:tc>
        <w:tc>
          <w:tcPr>
            <w:tcW w:w="708" w:type="dxa"/>
            <w:tcBorders>
              <w:top w:val="single" w:color="000000" w:sz="4" w:space="0"/>
              <w:left w:val="single" w:color="000000" w:sz="4" w:space="0"/>
              <w:bottom w:val="single" w:color="000000" w:sz="4" w:space="0"/>
              <w:right w:val="single" w:color="000000" w:sz="4" w:space="0"/>
            </w:tcBorders>
            <w:vAlign w:val="center"/>
          </w:tcPr>
          <w:p w14:paraId="74624D1B">
            <w:pPr>
              <w:jc w:val="center"/>
              <w:rPr>
                <w:rFonts w:ascii="仿宋_GB2312" w:eastAsia="仿宋_GB2312"/>
                <w:sz w:val="24"/>
                <w:szCs w:val="24"/>
              </w:rPr>
            </w:pPr>
            <w:r>
              <w:rPr>
                <w:rFonts w:hint="eastAsia" w:ascii="仿宋_GB2312" w:eastAsia="仿宋_GB2312"/>
                <w:sz w:val="24"/>
                <w:szCs w:val="24"/>
              </w:rPr>
              <w:t>浓缩倍数</w:t>
            </w:r>
            <w:r>
              <w:rPr>
                <w:rFonts w:hint="eastAsia" w:ascii="仿宋_GB2312" w:hAnsi="Calibri" w:eastAsia="仿宋_GB2312" w:cs="Calibri"/>
                <w:sz w:val="24"/>
                <w:szCs w:val="24"/>
              </w:rPr>
              <w:t xml:space="preserve"> </w:t>
            </w:r>
          </w:p>
        </w:tc>
        <w:tc>
          <w:tcPr>
            <w:tcW w:w="994" w:type="dxa"/>
            <w:tcBorders>
              <w:top w:val="single" w:color="000000" w:sz="4" w:space="0"/>
              <w:left w:val="single" w:color="000000" w:sz="4" w:space="0"/>
              <w:bottom w:val="single" w:color="000000" w:sz="4" w:space="0"/>
              <w:right w:val="single" w:color="000000" w:sz="4" w:space="0"/>
            </w:tcBorders>
          </w:tcPr>
          <w:p w14:paraId="61B6F095">
            <w:pPr>
              <w:spacing w:line="255" w:lineRule="auto"/>
              <w:jc w:val="center"/>
              <w:rPr>
                <w:rFonts w:ascii="仿宋_GB2312" w:eastAsia="仿宋_GB2312"/>
                <w:sz w:val="24"/>
                <w:szCs w:val="24"/>
              </w:rPr>
            </w:pPr>
            <w:r>
              <w:rPr>
                <w:rFonts w:hint="eastAsia" w:ascii="仿宋_GB2312" w:eastAsia="仿宋_GB2312"/>
                <w:sz w:val="24"/>
                <w:szCs w:val="24"/>
              </w:rPr>
              <w:t>配制母液体积</w:t>
            </w:r>
          </w:p>
          <w:p w14:paraId="62526083">
            <w:pPr>
              <w:ind w:right="58"/>
              <w:jc w:val="center"/>
              <w:rPr>
                <w:rFonts w:ascii="仿宋_GB2312" w:eastAsia="仿宋_GB2312"/>
                <w:sz w:val="24"/>
                <w:szCs w:val="24"/>
              </w:rPr>
            </w:pPr>
            <w:r>
              <w:rPr>
                <w:rFonts w:hint="eastAsia" w:ascii="仿宋_GB2312" w:hAnsi="Calibri" w:eastAsia="仿宋_GB2312" w:cs="Calibri"/>
                <w:sz w:val="24"/>
                <w:szCs w:val="24"/>
              </w:rPr>
              <w:t xml:space="preserve">(ml) </w:t>
            </w:r>
          </w:p>
        </w:tc>
        <w:tc>
          <w:tcPr>
            <w:tcW w:w="1133" w:type="dxa"/>
            <w:tcBorders>
              <w:top w:val="single" w:color="000000" w:sz="4" w:space="0"/>
              <w:left w:val="single" w:color="000000" w:sz="4" w:space="0"/>
              <w:bottom w:val="single" w:color="000000" w:sz="4" w:space="0"/>
              <w:right w:val="single" w:color="000000" w:sz="4" w:space="0"/>
            </w:tcBorders>
            <w:vAlign w:val="center"/>
          </w:tcPr>
          <w:p w14:paraId="40AFC2B3">
            <w:pPr>
              <w:jc w:val="center"/>
              <w:rPr>
                <w:rFonts w:ascii="仿宋_GB2312" w:eastAsia="仿宋_GB2312"/>
                <w:sz w:val="24"/>
                <w:szCs w:val="24"/>
              </w:rPr>
            </w:pPr>
            <w:r>
              <w:rPr>
                <w:rFonts w:hint="eastAsia" w:ascii="仿宋_GB2312" w:eastAsia="仿宋_GB2312"/>
                <w:sz w:val="24"/>
                <w:szCs w:val="24"/>
              </w:rPr>
              <w:t>理论计算值</w:t>
            </w:r>
            <w:r>
              <w:rPr>
                <w:rFonts w:hint="eastAsia" w:ascii="仿宋_GB2312" w:hAnsi="Calibri" w:eastAsia="仿宋_GB2312" w:cs="Calibri"/>
                <w:sz w:val="24"/>
                <w:szCs w:val="24"/>
              </w:rPr>
              <w:t xml:space="preserve">(g) </w:t>
            </w:r>
          </w:p>
        </w:tc>
        <w:tc>
          <w:tcPr>
            <w:tcW w:w="1280" w:type="dxa"/>
            <w:tcBorders>
              <w:top w:val="single" w:color="000000" w:sz="4" w:space="0"/>
              <w:left w:val="single" w:color="000000" w:sz="4" w:space="0"/>
              <w:bottom w:val="single" w:color="000000" w:sz="4" w:space="0"/>
              <w:right w:val="single" w:color="000000" w:sz="4" w:space="0"/>
            </w:tcBorders>
            <w:vAlign w:val="center"/>
          </w:tcPr>
          <w:p w14:paraId="19F6DA71">
            <w:pPr>
              <w:rPr>
                <w:rFonts w:ascii="仿宋_GB2312" w:eastAsia="仿宋_GB2312"/>
                <w:sz w:val="24"/>
                <w:szCs w:val="24"/>
              </w:rPr>
            </w:pPr>
            <w:r>
              <w:rPr>
                <w:rFonts w:hint="eastAsia" w:ascii="仿宋_GB2312" w:eastAsia="仿宋_GB2312"/>
                <w:sz w:val="24"/>
                <w:szCs w:val="24"/>
              </w:rPr>
              <w:t>实际称取值</w:t>
            </w:r>
            <w:r>
              <w:rPr>
                <w:rFonts w:hint="eastAsia" w:ascii="仿宋_GB2312" w:hAnsi="Calibri" w:eastAsia="仿宋_GB2312" w:cs="Calibri"/>
                <w:sz w:val="24"/>
                <w:szCs w:val="24"/>
              </w:rPr>
              <w:t xml:space="preserve">(g) </w:t>
            </w:r>
          </w:p>
        </w:tc>
      </w:tr>
      <w:tr w14:paraId="32A2258D">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2760AF8A">
            <w:pPr>
              <w:ind w:right="58"/>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01EFEC7E">
            <w:pPr>
              <w:ind w:right="55"/>
              <w:jc w:val="center"/>
              <w:rPr>
                <w:rFonts w:ascii="仿宋_GB2312" w:eastAsia="仿宋_GB2312"/>
                <w:sz w:val="24"/>
                <w:szCs w:val="24"/>
              </w:rPr>
            </w:pPr>
            <w:r>
              <w:rPr>
                <w:rFonts w:hint="eastAsia" w:ascii="仿宋_GB2312" w:hAnsi="Calibri" w:eastAsia="仿宋_GB2312" w:cs="Calibri"/>
                <w:sz w:val="24"/>
                <w:szCs w:val="24"/>
              </w:rPr>
              <w:t>Ca(NO</w:t>
            </w:r>
            <w:r>
              <w:rPr>
                <w:rFonts w:hint="eastAsia" w:ascii="仿宋_GB2312" w:hAnsi="Calibri" w:eastAsia="仿宋_GB2312" w:cs="Calibri"/>
                <w:sz w:val="24"/>
                <w:szCs w:val="24"/>
                <w:vertAlign w:val="subscript"/>
              </w:rPr>
              <w:t>3</w:t>
            </w:r>
            <w:r>
              <w:rPr>
                <w:rFonts w:hint="eastAsia" w:ascii="仿宋_GB2312" w:hAnsi="Calibri" w:eastAsia="仿宋_GB2312" w:cs="Calibri"/>
                <w:sz w:val="24"/>
                <w:szCs w:val="24"/>
              </w:rPr>
              <w:t>)</w:t>
            </w:r>
            <w:r>
              <w:rPr>
                <w:rFonts w:hint="eastAsia" w:ascii="仿宋_GB2312" w:hAnsi="Calibri" w:eastAsia="仿宋_GB2312" w:cs="Calibri"/>
                <w:sz w:val="24"/>
                <w:szCs w:val="24"/>
                <w:vertAlign w:val="subscript"/>
              </w:rPr>
              <w:t>2</w:t>
            </w:r>
            <w:r>
              <w:rPr>
                <w:rFonts w:hint="eastAsia"/>
                <w:sz w:val="24"/>
                <w:szCs w:val="24"/>
              </w:rPr>
              <w:t>﹒</w:t>
            </w:r>
            <w:r>
              <w:rPr>
                <w:rFonts w:hint="eastAsia" w:ascii="仿宋_GB2312" w:hAnsi="Calibri" w:eastAsia="仿宋_GB2312" w:cs="Calibri"/>
                <w:sz w:val="24"/>
                <w:szCs w:val="24"/>
              </w:rPr>
              <w:t>4H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000000" w:sz="4" w:space="0"/>
              <w:left w:val="single" w:color="000000" w:sz="4" w:space="0"/>
              <w:bottom w:val="single" w:color="000000" w:sz="4" w:space="0"/>
              <w:right w:val="single" w:color="000000" w:sz="4" w:space="0"/>
            </w:tcBorders>
            <w:vAlign w:val="center"/>
          </w:tcPr>
          <w:p w14:paraId="553E6257">
            <w:pPr>
              <w:ind w:right="56"/>
              <w:jc w:val="center"/>
              <w:rPr>
                <w:rFonts w:ascii="仿宋_GB2312" w:eastAsia="仿宋_GB2312"/>
                <w:sz w:val="24"/>
                <w:szCs w:val="24"/>
              </w:rPr>
            </w:pPr>
            <w:r>
              <w:rPr>
                <w:rFonts w:hint="eastAsia" w:ascii="仿宋_GB2312" w:hAnsi="Calibri" w:eastAsia="仿宋_GB2312" w:cs="Calibri"/>
                <w:sz w:val="24"/>
                <w:szCs w:val="24"/>
              </w:rPr>
              <w:t xml:space="preserve">945 </w:t>
            </w:r>
          </w:p>
        </w:tc>
        <w:tc>
          <w:tcPr>
            <w:tcW w:w="708" w:type="dxa"/>
            <w:tcBorders>
              <w:top w:val="single" w:color="000000" w:sz="4" w:space="0"/>
              <w:left w:val="single" w:color="000000" w:sz="4" w:space="0"/>
              <w:bottom w:val="single" w:color="000000" w:sz="4" w:space="0"/>
              <w:right w:val="single" w:color="000000" w:sz="4" w:space="0"/>
            </w:tcBorders>
            <w:vAlign w:val="center"/>
          </w:tcPr>
          <w:p w14:paraId="16FCA066">
            <w:pPr>
              <w:ind w:left="120"/>
              <w:rPr>
                <w:rFonts w:ascii="仿宋_GB2312" w:eastAsia="仿宋_GB2312"/>
                <w:sz w:val="24"/>
                <w:szCs w:val="24"/>
              </w:rPr>
            </w:pPr>
            <w:r>
              <w:rPr>
                <w:rFonts w:hint="eastAsia" w:ascii="仿宋_GB2312" w:hAnsi="Calibri" w:eastAsia="仿宋_GB2312" w:cs="Calibri"/>
                <w:sz w:val="24"/>
                <w:szCs w:val="24"/>
              </w:rPr>
              <w:t xml:space="preserve">60 </w:t>
            </w:r>
          </w:p>
        </w:tc>
        <w:tc>
          <w:tcPr>
            <w:tcW w:w="994" w:type="dxa"/>
            <w:tcBorders>
              <w:top w:val="single" w:color="000000" w:sz="4" w:space="0"/>
              <w:left w:val="single" w:color="000000" w:sz="4" w:space="0"/>
              <w:bottom w:val="single" w:color="000000" w:sz="4" w:space="0"/>
              <w:right w:val="single" w:color="000000" w:sz="4" w:space="0"/>
            </w:tcBorders>
            <w:vAlign w:val="center"/>
          </w:tcPr>
          <w:p w14:paraId="166D9495">
            <w:pPr>
              <w:ind w:right="62"/>
              <w:jc w:val="center"/>
              <w:rPr>
                <w:rFonts w:ascii="仿宋_GB2312" w:eastAsia="仿宋_GB2312"/>
                <w:sz w:val="24"/>
                <w:szCs w:val="24"/>
              </w:rPr>
            </w:pPr>
            <w:r>
              <w:rPr>
                <w:rFonts w:hint="eastAsia" w:ascii="仿宋_GB2312" w:hAnsi="Calibri" w:eastAsia="仿宋_GB2312" w:cs="Calibri"/>
                <w:sz w:val="24"/>
                <w:szCs w:val="24"/>
              </w:rPr>
              <w:t xml:space="preserve">250 </w:t>
            </w:r>
          </w:p>
        </w:tc>
        <w:tc>
          <w:tcPr>
            <w:tcW w:w="1133" w:type="dxa"/>
            <w:tcBorders>
              <w:top w:val="single" w:color="000000" w:sz="4" w:space="0"/>
              <w:left w:val="single" w:color="000000" w:sz="4" w:space="0"/>
              <w:bottom w:val="single" w:color="000000" w:sz="4" w:space="0"/>
              <w:right w:val="single" w:color="000000" w:sz="4" w:space="0"/>
            </w:tcBorders>
            <w:vAlign w:val="center"/>
          </w:tcPr>
          <w:p w14:paraId="43B78E46">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2682F4EF">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384F2155">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57483671">
            <w:pPr>
              <w:ind w:right="55"/>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26CA143C">
            <w:pPr>
              <w:ind w:right="57"/>
              <w:jc w:val="center"/>
              <w:rPr>
                <w:rFonts w:ascii="仿宋_GB2312" w:eastAsia="仿宋_GB2312"/>
                <w:sz w:val="24"/>
                <w:szCs w:val="24"/>
              </w:rPr>
            </w:pPr>
            <w:r>
              <w:rPr>
                <w:rFonts w:hint="eastAsia" w:ascii="仿宋_GB2312" w:hAnsi="Calibri" w:eastAsia="仿宋_GB2312" w:cs="Calibri"/>
                <w:sz w:val="24"/>
                <w:szCs w:val="24"/>
              </w:rPr>
              <w:t>NH</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PO</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503399BB">
            <w:pPr>
              <w:ind w:right="56"/>
              <w:jc w:val="center"/>
              <w:rPr>
                <w:rFonts w:ascii="仿宋_GB2312" w:eastAsia="仿宋_GB2312"/>
                <w:sz w:val="24"/>
                <w:szCs w:val="24"/>
              </w:rPr>
            </w:pPr>
            <w:r>
              <w:rPr>
                <w:rFonts w:hint="eastAsia" w:ascii="仿宋_GB2312" w:hAnsi="Calibri" w:eastAsia="仿宋_GB2312" w:cs="Calibri"/>
                <w:sz w:val="24"/>
                <w:szCs w:val="24"/>
              </w:rPr>
              <w:t xml:space="preserve">153 </w:t>
            </w:r>
          </w:p>
        </w:tc>
        <w:tc>
          <w:tcPr>
            <w:tcW w:w="708" w:type="dxa"/>
            <w:tcBorders>
              <w:top w:val="single" w:color="000000" w:sz="4" w:space="0"/>
              <w:left w:val="single" w:color="000000" w:sz="4" w:space="0"/>
              <w:bottom w:val="single" w:color="000000" w:sz="4" w:space="0"/>
              <w:right w:val="single" w:color="000000" w:sz="4" w:space="0"/>
            </w:tcBorders>
            <w:vAlign w:val="center"/>
          </w:tcPr>
          <w:p w14:paraId="577A5EF9">
            <w:pPr>
              <w:ind w:left="120"/>
              <w:rPr>
                <w:rFonts w:ascii="仿宋_GB2312" w:eastAsia="仿宋_GB2312"/>
                <w:sz w:val="24"/>
                <w:szCs w:val="24"/>
              </w:rPr>
            </w:pPr>
            <w:r>
              <w:rPr>
                <w:rFonts w:hint="eastAsia" w:ascii="仿宋_GB2312" w:hAnsi="Calibri" w:eastAsia="仿宋_GB2312" w:cs="Calibri"/>
                <w:sz w:val="24"/>
                <w:szCs w:val="24"/>
              </w:rPr>
              <w:t xml:space="preserve">70 </w:t>
            </w:r>
          </w:p>
        </w:tc>
        <w:tc>
          <w:tcPr>
            <w:tcW w:w="994" w:type="dxa"/>
            <w:tcBorders>
              <w:top w:val="single" w:color="000000" w:sz="4" w:space="0"/>
              <w:left w:val="single" w:color="000000" w:sz="4" w:space="0"/>
              <w:bottom w:val="single" w:color="000000" w:sz="4" w:space="0"/>
              <w:right w:val="single" w:color="000000" w:sz="4" w:space="0"/>
            </w:tcBorders>
            <w:vAlign w:val="center"/>
          </w:tcPr>
          <w:p w14:paraId="3D5000A9">
            <w:pPr>
              <w:ind w:right="62"/>
              <w:jc w:val="center"/>
              <w:rPr>
                <w:rFonts w:ascii="仿宋_GB2312" w:eastAsia="仿宋_GB2312"/>
                <w:sz w:val="24"/>
                <w:szCs w:val="24"/>
              </w:rPr>
            </w:pPr>
            <w:r>
              <w:rPr>
                <w:rFonts w:hint="eastAsia" w:ascii="仿宋_GB2312" w:hAnsi="Calibri" w:eastAsia="仿宋_GB2312" w:cs="Calibri"/>
                <w:sz w:val="24"/>
                <w:szCs w:val="24"/>
              </w:rPr>
              <w:t xml:space="preserve">250 </w:t>
            </w:r>
          </w:p>
        </w:tc>
        <w:tc>
          <w:tcPr>
            <w:tcW w:w="1133" w:type="dxa"/>
            <w:tcBorders>
              <w:top w:val="single" w:color="000000" w:sz="4" w:space="0"/>
              <w:left w:val="single" w:color="000000" w:sz="4" w:space="0"/>
              <w:bottom w:val="single" w:color="000000" w:sz="4" w:space="0"/>
              <w:right w:val="single" w:color="000000" w:sz="4" w:space="0"/>
            </w:tcBorders>
            <w:vAlign w:val="center"/>
          </w:tcPr>
          <w:p w14:paraId="2CC40FB9">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132DB968">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0DBFA5ED">
        <w:tblPrEx>
          <w:tblCellMar>
            <w:top w:w="0" w:type="dxa"/>
            <w:left w:w="113" w:type="dxa"/>
            <w:bottom w:w="8" w:type="dxa"/>
            <w:right w:w="55" w:type="dxa"/>
          </w:tblCellMar>
        </w:tblPrEx>
        <w:trPr>
          <w:trHeight w:val="466" w:hRule="atLeast"/>
        </w:trPr>
        <w:tc>
          <w:tcPr>
            <w:tcW w:w="900" w:type="dxa"/>
            <w:vMerge w:val="restart"/>
            <w:tcBorders>
              <w:top w:val="single" w:color="000000" w:sz="4" w:space="0"/>
              <w:left w:val="single" w:color="000000" w:sz="4" w:space="0"/>
              <w:bottom w:val="nil"/>
              <w:right w:val="single" w:color="000000" w:sz="4" w:space="0"/>
            </w:tcBorders>
            <w:vAlign w:val="center"/>
          </w:tcPr>
          <w:p w14:paraId="5C340ABA">
            <w:pPr>
              <w:ind w:right="58"/>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p>
        </w:tc>
        <w:tc>
          <w:tcPr>
            <w:tcW w:w="1841" w:type="dxa"/>
            <w:tcBorders>
              <w:top w:val="single" w:color="000000" w:sz="4" w:space="0"/>
              <w:left w:val="single" w:color="000000" w:sz="4" w:space="0"/>
              <w:bottom w:val="single" w:color="000000" w:sz="4" w:space="0"/>
              <w:right w:val="single" w:color="000000" w:sz="4" w:space="0"/>
            </w:tcBorders>
            <w:vAlign w:val="center"/>
          </w:tcPr>
          <w:p w14:paraId="462342DD">
            <w:pPr>
              <w:ind w:right="55"/>
              <w:jc w:val="center"/>
              <w:rPr>
                <w:rFonts w:ascii="仿宋_GB2312" w:eastAsia="仿宋_GB2312"/>
                <w:sz w:val="24"/>
                <w:szCs w:val="24"/>
              </w:rPr>
            </w:pPr>
            <w:r>
              <w:rPr>
                <w:rFonts w:hint="eastAsia" w:ascii="仿宋_GB2312" w:hAnsi="Calibri" w:eastAsia="仿宋_GB2312" w:cs="Calibri"/>
                <w:sz w:val="24"/>
                <w:szCs w:val="24"/>
              </w:rPr>
              <w:t>FeSO</w:t>
            </w:r>
            <w:r>
              <w:rPr>
                <w:rFonts w:hint="eastAsia" w:ascii="仿宋_GB2312" w:hAnsi="Calibri" w:eastAsia="仿宋_GB2312" w:cs="Calibri"/>
                <w:sz w:val="24"/>
                <w:szCs w:val="24"/>
                <w:vertAlign w:val="subscript"/>
              </w:rPr>
              <w:t>4</w:t>
            </w:r>
            <w:r>
              <w:rPr>
                <w:rFonts w:hint="eastAsia"/>
                <w:sz w:val="24"/>
                <w:szCs w:val="24"/>
              </w:rPr>
              <w:t>﹒</w:t>
            </w:r>
            <w:r>
              <w:rPr>
                <w:rFonts w:hint="eastAsia" w:ascii="仿宋_GB2312" w:hAnsi="Calibri" w:eastAsia="仿宋_GB2312" w:cs="Calibri"/>
                <w:sz w:val="24"/>
                <w:szCs w:val="24"/>
              </w:rPr>
              <w:t>7H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O</w:t>
            </w:r>
          </w:p>
        </w:tc>
        <w:tc>
          <w:tcPr>
            <w:tcW w:w="1702" w:type="dxa"/>
            <w:tcBorders>
              <w:top w:val="single" w:color="000000" w:sz="4" w:space="0"/>
              <w:left w:val="single" w:color="000000" w:sz="4" w:space="0"/>
              <w:bottom w:val="single" w:color="000000" w:sz="4" w:space="0"/>
              <w:right w:val="single" w:color="000000" w:sz="4" w:space="0"/>
            </w:tcBorders>
            <w:vAlign w:val="center"/>
          </w:tcPr>
          <w:p w14:paraId="767F91AC">
            <w:pPr>
              <w:ind w:right="57"/>
              <w:jc w:val="center"/>
              <w:rPr>
                <w:rFonts w:ascii="仿宋_GB2312" w:eastAsia="仿宋_GB2312"/>
                <w:sz w:val="24"/>
                <w:szCs w:val="24"/>
              </w:rPr>
            </w:pPr>
            <w:r>
              <w:rPr>
                <w:rFonts w:hint="eastAsia" w:ascii="仿宋_GB2312" w:hAnsi="Calibri" w:eastAsia="仿宋_GB2312" w:cs="Calibri"/>
                <w:sz w:val="24"/>
                <w:szCs w:val="24"/>
              </w:rPr>
              <w:t>13.9</w:t>
            </w:r>
          </w:p>
        </w:tc>
        <w:tc>
          <w:tcPr>
            <w:tcW w:w="708" w:type="dxa"/>
            <w:vMerge w:val="restart"/>
            <w:tcBorders>
              <w:top w:val="single" w:color="000000" w:sz="4" w:space="0"/>
              <w:left w:val="single" w:color="000000" w:sz="4" w:space="0"/>
              <w:bottom w:val="nil"/>
              <w:right w:val="single" w:color="000000" w:sz="4" w:space="0"/>
            </w:tcBorders>
            <w:vAlign w:val="center"/>
          </w:tcPr>
          <w:p w14:paraId="714E0ED3">
            <w:pPr>
              <w:ind w:left="60"/>
              <w:jc w:val="center"/>
              <w:rPr>
                <w:rFonts w:ascii="仿宋_GB2312" w:eastAsia="仿宋_GB2312"/>
                <w:sz w:val="24"/>
                <w:szCs w:val="24"/>
              </w:rPr>
            </w:pPr>
            <w:r>
              <w:rPr>
                <w:rFonts w:hint="eastAsia" w:ascii="仿宋_GB2312" w:hAnsi="Calibri" w:eastAsia="仿宋_GB2312" w:cs="Calibri"/>
                <w:sz w:val="24"/>
                <w:szCs w:val="24"/>
              </w:rPr>
              <w:t>210</w:t>
            </w:r>
          </w:p>
        </w:tc>
        <w:tc>
          <w:tcPr>
            <w:tcW w:w="994" w:type="dxa"/>
            <w:vMerge w:val="restart"/>
            <w:tcBorders>
              <w:top w:val="single" w:color="000000" w:sz="4" w:space="0"/>
              <w:left w:val="single" w:color="000000" w:sz="4" w:space="0"/>
              <w:bottom w:val="nil"/>
              <w:right w:val="single" w:color="000000" w:sz="4" w:space="0"/>
            </w:tcBorders>
            <w:vAlign w:val="center"/>
          </w:tcPr>
          <w:p w14:paraId="0D226206">
            <w:pPr>
              <w:ind w:right="62"/>
              <w:jc w:val="center"/>
              <w:rPr>
                <w:rFonts w:ascii="仿宋_GB2312" w:eastAsia="仿宋_GB2312"/>
                <w:sz w:val="24"/>
                <w:szCs w:val="24"/>
              </w:rPr>
            </w:pPr>
            <w:r>
              <w:rPr>
                <w:rFonts w:hint="eastAsia" w:ascii="仿宋_GB2312" w:hAnsi="Calibri" w:eastAsia="仿宋_GB2312" w:cs="Calibri"/>
                <w:sz w:val="24"/>
                <w:szCs w:val="24"/>
              </w:rPr>
              <w:t>100</w:t>
            </w:r>
          </w:p>
        </w:tc>
        <w:tc>
          <w:tcPr>
            <w:tcW w:w="1133" w:type="dxa"/>
            <w:tcBorders>
              <w:top w:val="single" w:color="000000" w:sz="4" w:space="0"/>
              <w:left w:val="single" w:color="000000" w:sz="4" w:space="0"/>
              <w:bottom w:val="single" w:color="000000" w:sz="4" w:space="0"/>
              <w:right w:val="single" w:color="000000" w:sz="4" w:space="0"/>
            </w:tcBorders>
            <w:vAlign w:val="center"/>
          </w:tcPr>
          <w:p w14:paraId="076E3155">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7DC10605">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1833AFE7">
        <w:tblPrEx>
          <w:tblCellMar>
            <w:top w:w="0" w:type="dxa"/>
            <w:left w:w="113" w:type="dxa"/>
            <w:bottom w:w="8" w:type="dxa"/>
            <w:right w:w="55" w:type="dxa"/>
          </w:tblCellMar>
        </w:tblPrEx>
        <w:trPr>
          <w:trHeight w:val="163" w:hRule="atLeast"/>
        </w:trPr>
        <w:tc>
          <w:tcPr>
            <w:tcW w:w="0" w:type="auto"/>
            <w:vMerge w:val="continue"/>
            <w:tcBorders>
              <w:top w:val="nil"/>
              <w:left w:val="single" w:color="000000" w:sz="4" w:space="0"/>
              <w:bottom w:val="single" w:color="auto" w:sz="4" w:space="0"/>
              <w:right w:val="single" w:color="000000" w:sz="4" w:space="0"/>
            </w:tcBorders>
            <w:vAlign w:val="center"/>
          </w:tcPr>
          <w:p w14:paraId="6DFE9917">
            <w:pPr>
              <w:spacing w:after="160"/>
              <w:jc w:val="center"/>
              <w:rPr>
                <w:rFonts w:ascii="仿宋_GB2312" w:eastAsia="仿宋_GB2312"/>
                <w:sz w:val="24"/>
                <w:szCs w:val="24"/>
              </w:rPr>
            </w:pPr>
          </w:p>
        </w:tc>
        <w:tc>
          <w:tcPr>
            <w:tcW w:w="1841" w:type="dxa"/>
            <w:tcBorders>
              <w:top w:val="single" w:color="000000" w:sz="4" w:space="0"/>
              <w:left w:val="single" w:color="000000" w:sz="4" w:space="0"/>
              <w:bottom w:val="single" w:color="auto" w:sz="4" w:space="0"/>
              <w:right w:val="single" w:color="000000" w:sz="4" w:space="0"/>
            </w:tcBorders>
            <w:vAlign w:val="center"/>
          </w:tcPr>
          <w:p w14:paraId="602EB7C4">
            <w:pPr>
              <w:ind w:right="56"/>
              <w:jc w:val="center"/>
              <w:rPr>
                <w:rFonts w:ascii="仿宋_GB2312" w:eastAsia="仿宋_GB2312"/>
                <w:sz w:val="24"/>
                <w:szCs w:val="24"/>
              </w:rPr>
            </w:pPr>
            <w:r>
              <w:rPr>
                <w:rFonts w:hint="eastAsia" w:ascii="仿宋_GB2312" w:hAnsi="Calibri" w:eastAsia="仿宋_GB2312" w:cs="Calibri"/>
                <w:sz w:val="24"/>
                <w:szCs w:val="24"/>
              </w:rPr>
              <w:t>Na</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-EDTA</w:t>
            </w:r>
          </w:p>
        </w:tc>
        <w:tc>
          <w:tcPr>
            <w:tcW w:w="1702" w:type="dxa"/>
            <w:tcBorders>
              <w:top w:val="single" w:color="000000" w:sz="4" w:space="0"/>
              <w:left w:val="single" w:color="000000" w:sz="4" w:space="0"/>
              <w:bottom w:val="single" w:color="auto" w:sz="4" w:space="0"/>
              <w:right w:val="single" w:color="000000" w:sz="4" w:space="0"/>
            </w:tcBorders>
            <w:vAlign w:val="center"/>
          </w:tcPr>
          <w:p w14:paraId="6C1C9045">
            <w:pPr>
              <w:ind w:right="57"/>
              <w:jc w:val="center"/>
              <w:rPr>
                <w:rFonts w:ascii="仿宋_GB2312" w:eastAsia="仿宋_GB2312"/>
                <w:sz w:val="24"/>
                <w:szCs w:val="24"/>
              </w:rPr>
            </w:pPr>
            <w:r>
              <w:rPr>
                <w:rFonts w:hint="eastAsia" w:ascii="仿宋_GB2312" w:hAnsi="Calibri" w:eastAsia="仿宋_GB2312" w:cs="Calibri"/>
                <w:sz w:val="24"/>
                <w:szCs w:val="24"/>
              </w:rPr>
              <w:t>18.6</w:t>
            </w:r>
          </w:p>
        </w:tc>
        <w:tc>
          <w:tcPr>
            <w:tcW w:w="0" w:type="auto"/>
            <w:vMerge w:val="continue"/>
            <w:tcBorders>
              <w:top w:val="nil"/>
              <w:left w:val="single" w:color="000000" w:sz="4" w:space="0"/>
              <w:bottom w:val="single" w:color="auto" w:sz="4" w:space="0"/>
              <w:right w:val="single" w:color="000000" w:sz="4" w:space="0"/>
            </w:tcBorders>
            <w:vAlign w:val="center"/>
          </w:tcPr>
          <w:p w14:paraId="4B6C88EB">
            <w:pPr>
              <w:spacing w:after="160"/>
              <w:jc w:val="center"/>
              <w:rPr>
                <w:rFonts w:ascii="仿宋_GB2312" w:eastAsia="仿宋_GB2312"/>
                <w:sz w:val="24"/>
                <w:szCs w:val="24"/>
              </w:rPr>
            </w:pPr>
          </w:p>
        </w:tc>
        <w:tc>
          <w:tcPr>
            <w:tcW w:w="0" w:type="auto"/>
            <w:vMerge w:val="continue"/>
            <w:tcBorders>
              <w:top w:val="nil"/>
              <w:left w:val="single" w:color="000000" w:sz="4" w:space="0"/>
              <w:bottom w:val="single" w:color="auto" w:sz="4" w:space="0"/>
              <w:right w:val="single" w:color="000000" w:sz="4" w:space="0"/>
            </w:tcBorders>
            <w:vAlign w:val="center"/>
          </w:tcPr>
          <w:p w14:paraId="739A6CB4">
            <w:pPr>
              <w:spacing w:after="160"/>
              <w:jc w:val="center"/>
              <w:rPr>
                <w:rFonts w:ascii="仿宋_GB2312" w:eastAsia="仿宋_GB2312"/>
                <w:sz w:val="24"/>
                <w:szCs w:val="24"/>
              </w:rPr>
            </w:pPr>
          </w:p>
        </w:tc>
        <w:tc>
          <w:tcPr>
            <w:tcW w:w="1133" w:type="dxa"/>
            <w:tcBorders>
              <w:top w:val="single" w:color="000000" w:sz="4" w:space="0"/>
              <w:left w:val="single" w:color="000000" w:sz="4" w:space="0"/>
              <w:bottom w:val="single" w:color="auto" w:sz="4" w:space="0"/>
              <w:right w:val="single" w:color="000000" w:sz="4" w:space="0"/>
            </w:tcBorders>
          </w:tcPr>
          <w:p w14:paraId="58A5D08C">
            <w:pPr>
              <w:spacing w:after="160"/>
              <w:rPr>
                <w:rFonts w:ascii="仿宋_GB2312" w:eastAsia="仿宋_GB2312"/>
                <w:sz w:val="24"/>
                <w:szCs w:val="24"/>
              </w:rPr>
            </w:pPr>
          </w:p>
        </w:tc>
        <w:tc>
          <w:tcPr>
            <w:tcW w:w="1280" w:type="dxa"/>
            <w:tcBorders>
              <w:top w:val="single" w:color="000000" w:sz="4" w:space="0"/>
              <w:left w:val="single" w:color="000000" w:sz="4" w:space="0"/>
              <w:bottom w:val="single" w:color="auto" w:sz="4" w:space="0"/>
              <w:right w:val="single" w:color="000000" w:sz="4" w:space="0"/>
            </w:tcBorders>
          </w:tcPr>
          <w:p w14:paraId="3AC41C9D">
            <w:pPr>
              <w:spacing w:after="160"/>
              <w:rPr>
                <w:rFonts w:ascii="仿宋_GB2312" w:eastAsia="仿宋_GB2312"/>
                <w:sz w:val="24"/>
                <w:szCs w:val="24"/>
              </w:rPr>
            </w:pPr>
          </w:p>
        </w:tc>
      </w:tr>
    </w:tbl>
    <w:p w14:paraId="02484E96">
      <w:pPr>
        <w:spacing w:before="312" w:beforeLines="100" w:after="312" w:afterLines="100"/>
        <w:ind w:left="-6" w:hanging="11"/>
        <w:rPr>
          <w:rFonts w:ascii="仿宋_GB2312" w:eastAsia="仿宋_GB2312"/>
          <w:b/>
          <w:sz w:val="30"/>
        </w:rPr>
      </w:pPr>
      <w:r>
        <w:rPr>
          <w:rFonts w:ascii="仿宋_GB2312" w:eastAsia="仿宋_GB2312"/>
          <w:b/>
          <w:sz w:val="30"/>
        </w:rPr>
        <w:t xml:space="preserve">二、工作液配制 </w:t>
      </w:r>
    </w:p>
    <w:tbl>
      <w:tblPr>
        <w:tblStyle w:val="11"/>
        <w:tblW w:w="8529" w:type="dxa"/>
        <w:tblInd w:w="-108" w:type="dxa"/>
        <w:tblLayout w:type="autofit"/>
        <w:tblCellMar>
          <w:top w:w="0" w:type="dxa"/>
          <w:left w:w="108" w:type="dxa"/>
          <w:bottom w:w="0" w:type="dxa"/>
          <w:right w:w="17" w:type="dxa"/>
        </w:tblCellMar>
      </w:tblPr>
      <w:tblGrid>
        <w:gridCol w:w="1682"/>
        <w:gridCol w:w="2235"/>
        <w:gridCol w:w="1724"/>
        <w:gridCol w:w="1549"/>
        <w:gridCol w:w="1339"/>
      </w:tblGrid>
      <w:tr w14:paraId="55270167">
        <w:tblPrEx>
          <w:tblCellMar>
            <w:top w:w="0" w:type="dxa"/>
            <w:left w:w="108" w:type="dxa"/>
            <w:bottom w:w="0" w:type="dxa"/>
            <w:right w:w="17" w:type="dxa"/>
          </w:tblCellMar>
        </w:tblPrEx>
        <w:trPr>
          <w:trHeight w:val="554"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2E42C0E1">
            <w:pPr>
              <w:ind w:right="89"/>
              <w:jc w:val="center"/>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2235" w:type="dxa"/>
            <w:tcBorders>
              <w:top w:val="single" w:color="000000" w:sz="4" w:space="0"/>
              <w:left w:val="single" w:color="000000" w:sz="4" w:space="0"/>
              <w:bottom w:val="single" w:color="000000" w:sz="4" w:space="0"/>
              <w:right w:val="single" w:color="000000" w:sz="4" w:space="0"/>
            </w:tcBorders>
            <w:vAlign w:val="center"/>
          </w:tcPr>
          <w:p w14:paraId="2D6FB19E">
            <w:pPr>
              <w:jc w:val="center"/>
              <w:rPr>
                <w:rFonts w:ascii="仿宋_GB2312" w:eastAsia="仿宋_GB2312"/>
                <w:sz w:val="24"/>
                <w:szCs w:val="24"/>
              </w:rPr>
            </w:pPr>
            <w:r>
              <w:rPr>
                <w:rFonts w:hint="eastAsia" w:ascii="仿宋_GB2312" w:eastAsia="仿宋_GB2312"/>
                <w:sz w:val="24"/>
                <w:szCs w:val="24"/>
              </w:rPr>
              <w:t>配制工作液体积（</w:t>
            </w:r>
            <w:r>
              <w:rPr>
                <w:rFonts w:hint="eastAsia" w:ascii="仿宋_GB2312" w:hAnsi="Calibri" w:eastAsia="仿宋_GB2312" w:cs="Calibri"/>
                <w:sz w:val="24"/>
                <w:szCs w:val="24"/>
              </w:rPr>
              <w:t>ml</w:t>
            </w:r>
            <w:r>
              <w:rPr>
                <w:rFonts w:hint="eastAsia" w:ascii="仿宋_GB2312" w:eastAsia="仿宋_GB2312"/>
                <w:sz w:val="24"/>
                <w:szCs w:val="24"/>
              </w:rPr>
              <w:t>）</w:t>
            </w:r>
          </w:p>
        </w:tc>
        <w:tc>
          <w:tcPr>
            <w:tcW w:w="1724" w:type="dxa"/>
            <w:tcBorders>
              <w:top w:val="single" w:color="000000" w:sz="4" w:space="0"/>
              <w:left w:val="single" w:color="000000" w:sz="4" w:space="0"/>
              <w:bottom w:val="single" w:color="000000" w:sz="4" w:space="0"/>
              <w:right w:val="single" w:color="000000" w:sz="4" w:space="0"/>
            </w:tcBorders>
            <w:vAlign w:val="center"/>
          </w:tcPr>
          <w:p w14:paraId="469DD06C">
            <w:pPr>
              <w:ind w:right="94"/>
              <w:jc w:val="center"/>
              <w:rPr>
                <w:rFonts w:ascii="仿宋_GB2312" w:eastAsia="仿宋_GB2312"/>
                <w:sz w:val="24"/>
                <w:szCs w:val="24"/>
              </w:rPr>
            </w:pPr>
            <w:r>
              <w:rPr>
                <w:rFonts w:hint="eastAsia" w:ascii="仿宋_GB2312" w:eastAsia="仿宋_GB2312"/>
                <w:sz w:val="24"/>
                <w:szCs w:val="24"/>
              </w:rPr>
              <w:t>配制剂量</w:t>
            </w:r>
            <w:r>
              <w:rPr>
                <w:rFonts w:hint="eastAsia" w:ascii="仿宋_GB2312" w:hAnsi="Calibri" w:eastAsia="仿宋_GB2312" w:cs="Calibri"/>
                <w:sz w:val="24"/>
                <w:szCs w:val="24"/>
              </w:rPr>
              <w:t xml:space="preserve"> </w:t>
            </w:r>
          </w:p>
        </w:tc>
        <w:tc>
          <w:tcPr>
            <w:tcW w:w="1549" w:type="dxa"/>
            <w:tcBorders>
              <w:top w:val="single" w:color="000000" w:sz="4" w:space="0"/>
              <w:left w:val="single" w:color="000000" w:sz="4" w:space="0"/>
              <w:bottom w:val="single" w:color="000000" w:sz="4" w:space="0"/>
              <w:right w:val="single" w:color="000000" w:sz="4" w:space="0"/>
            </w:tcBorders>
          </w:tcPr>
          <w:p w14:paraId="413609EF">
            <w:pPr>
              <w:spacing w:after="27"/>
              <w:ind w:left="245"/>
              <w:rPr>
                <w:rFonts w:ascii="仿宋_GB2312" w:eastAsia="仿宋_GB2312"/>
                <w:sz w:val="24"/>
                <w:szCs w:val="24"/>
              </w:rPr>
            </w:pPr>
            <w:r>
              <w:rPr>
                <w:rFonts w:hint="eastAsia" w:ascii="仿宋_GB2312" w:eastAsia="仿宋_GB2312"/>
                <w:sz w:val="24"/>
                <w:szCs w:val="24"/>
              </w:rPr>
              <w:t>理论移取</w:t>
            </w:r>
            <w:r>
              <w:rPr>
                <w:rFonts w:hint="eastAsia" w:ascii="仿宋_GB2312" w:hAnsi="Calibri" w:eastAsia="仿宋_GB2312" w:cs="Calibri"/>
                <w:sz w:val="24"/>
                <w:szCs w:val="24"/>
              </w:rPr>
              <w:t xml:space="preserve"> </w:t>
            </w:r>
          </w:p>
          <w:p w14:paraId="1D93E9FE">
            <w:pPr>
              <w:ind w:right="92"/>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 xml:space="preserve">(ml) </w:t>
            </w:r>
          </w:p>
        </w:tc>
        <w:tc>
          <w:tcPr>
            <w:tcW w:w="1339" w:type="dxa"/>
            <w:tcBorders>
              <w:top w:val="single" w:color="000000" w:sz="4" w:space="0"/>
              <w:left w:val="single" w:color="000000" w:sz="4" w:space="0"/>
              <w:bottom w:val="single" w:color="000000" w:sz="4" w:space="0"/>
              <w:right w:val="single" w:color="000000" w:sz="4" w:space="0"/>
            </w:tcBorders>
          </w:tcPr>
          <w:p w14:paraId="014C3556">
            <w:pPr>
              <w:spacing w:after="27"/>
              <w:ind w:left="142"/>
              <w:rPr>
                <w:rFonts w:ascii="仿宋_GB2312" w:eastAsia="仿宋_GB2312"/>
                <w:sz w:val="24"/>
                <w:szCs w:val="24"/>
              </w:rPr>
            </w:pPr>
            <w:r>
              <w:rPr>
                <w:rFonts w:hint="eastAsia" w:ascii="仿宋_GB2312" w:eastAsia="仿宋_GB2312"/>
                <w:sz w:val="24"/>
                <w:szCs w:val="24"/>
              </w:rPr>
              <w:t>实际移取</w:t>
            </w:r>
            <w:r>
              <w:rPr>
                <w:rFonts w:hint="eastAsia" w:ascii="仿宋_GB2312" w:hAnsi="Calibri" w:eastAsia="仿宋_GB2312" w:cs="Calibri"/>
                <w:sz w:val="24"/>
                <w:szCs w:val="24"/>
              </w:rPr>
              <w:t xml:space="preserve"> </w:t>
            </w:r>
          </w:p>
          <w:p w14:paraId="5D39B62F">
            <w:pPr>
              <w:ind w:left="74"/>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(ml)</w:t>
            </w:r>
          </w:p>
        </w:tc>
      </w:tr>
      <w:tr w14:paraId="550A9D0B">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6B550CDE">
            <w:pPr>
              <w:ind w:right="91"/>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2235" w:type="dxa"/>
            <w:vMerge w:val="restart"/>
            <w:tcBorders>
              <w:top w:val="single" w:color="000000" w:sz="4" w:space="0"/>
              <w:left w:val="single" w:color="000000" w:sz="4" w:space="0"/>
              <w:bottom w:val="single" w:color="000000" w:sz="4" w:space="0"/>
              <w:right w:val="single" w:color="000000" w:sz="4" w:space="0"/>
            </w:tcBorders>
            <w:vAlign w:val="center"/>
          </w:tcPr>
          <w:p w14:paraId="2FFC36B5">
            <w:pPr>
              <w:ind w:right="89"/>
              <w:jc w:val="center"/>
              <w:rPr>
                <w:rFonts w:ascii="仿宋_GB2312" w:eastAsia="仿宋_GB2312"/>
                <w:sz w:val="24"/>
                <w:szCs w:val="24"/>
              </w:rPr>
            </w:pPr>
            <w:r>
              <w:rPr>
                <w:rFonts w:hint="eastAsia" w:ascii="仿宋_GB2312" w:hAnsi="Calibri" w:eastAsia="仿宋_GB2312" w:cs="Calibri"/>
                <w:sz w:val="24"/>
                <w:szCs w:val="24"/>
              </w:rPr>
              <w:t xml:space="preserve">1000 </w:t>
            </w:r>
          </w:p>
        </w:tc>
        <w:tc>
          <w:tcPr>
            <w:tcW w:w="1724" w:type="dxa"/>
            <w:tcBorders>
              <w:top w:val="single" w:color="000000" w:sz="4" w:space="0"/>
              <w:left w:val="single" w:color="000000" w:sz="4" w:space="0"/>
              <w:bottom w:val="single" w:color="000000" w:sz="4" w:space="0"/>
              <w:right w:val="single" w:color="000000" w:sz="4" w:space="0"/>
            </w:tcBorders>
          </w:tcPr>
          <w:p w14:paraId="4F76ED46">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2</m:t>
                    </m:r>
                    <m:ctrlPr>
                      <w:rPr>
                        <w:rFonts w:hint="eastAsia" w:ascii="Cambria Math" w:hAnsi="Cambria Math" w:eastAsia="仿宋_GB2312"/>
                        <w:sz w:val="24"/>
                        <w:szCs w:val="24"/>
                      </w:rPr>
                    </m:ctrlPr>
                  </m:num>
                  <m:den>
                    <m:r>
                      <m:rPr/>
                      <w:rPr>
                        <w:rFonts w:hint="eastAsia" w:ascii="Cambria Math" w:hAnsi="Cambria Math" w:eastAsia="仿宋_GB2312"/>
                        <w:sz w:val="24"/>
                        <w:szCs w:val="24"/>
                      </w:rPr>
                      <m:t>5</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0F356D39">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015772DC">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46B92734">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5F003FF1">
            <w:pPr>
              <w:ind w:right="89"/>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nil"/>
              <w:right w:val="single" w:color="000000" w:sz="4" w:space="0"/>
            </w:tcBorders>
          </w:tcPr>
          <w:p w14:paraId="4CDEA11E">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7D8D6E0A">
            <w:pPr>
              <w:rPr>
                <w:rFonts w:ascii="仿宋_GB2312" w:eastAsia="仿宋_GB2312"/>
                <w:sz w:val="24"/>
                <w:szCs w:val="24"/>
              </w:rPr>
            </w:pPr>
            <m:oMathPara>
              <m:oMathParaPr>
                <m:jc m:val="center"/>
              </m:oMathParaPr>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2</m:t>
                    </m:r>
                    <m:ctrlPr>
                      <w:rPr>
                        <w:rFonts w:hint="eastAsia" w:ascii="Cambria Math" w:hAnsi="Cambria Math" w:eastAsia="仿宋_GB2312"/>
                        <w:sz w:val="24"/>
                        <w:szCs w:val="24"/>
                      </w:rPr>
                    </m:ctrlPr>
                  </m:num>
                  <m:den>
                    <m:r>
                      <m:rPr/>
                      <w:rPr>
                        <w:rFonts w:hint="eastAsia" w:ascii="Cambria Math" w:hAnsi="Cambria Math" w:eastAsia="仿宋_GB2312"/>
                        <w:sz w:val="24"/>
                        <w:szCs w:val="24"/>
                      </w:rPr>
                      <m:t>7</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590028DB">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46C9F8B9">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6F8B6178">
        <w:tblPrEx>
          <w:tblCellMar>
            <w:top w:w="0" w:type="dxa"/>
            <w:left w:w="108" w:type="dxa"/>
            <w:bottom w:w="0" w:type="dxa"/>
            <w:right w:w="17" w:type="dxa"/>
          </w:tblCellMar>
        </w:tblPrEx>
        <w:trPr>
          <w:trHeight w:val="653"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0C0C7D10">
            <w:pPr>
              <w:ind w:right="91"/>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single" w:color="000000" w:sz="4" w:space="0"/>
              <w:right w:val="single" w:color="000000" w:sz="4" w:space="0"/>
            </w:tcBorders>
          </w:tcPr>
          <w:p w14:paraId="6A64B18A">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78E8964B">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3</m:t>
                    </m:r>
                    <m:ctrlPr>
                      <w:rPr>
                        <w:rFonts w:hint="eastAsia" w:ascii="Cambria Math" w:hAnsi="Cambria Math" w:eastAsia="仿宋_GB2312"/>
                        <w:sz w:val="24"/>
                        <w:szCs w:val="24"/>
                      </w:rPr>
                    </m:ctrlPr>
                  </m:num>
                  <m:den>
                    <m:r>
                      <m:rPr/>
                      <w:rPr>
                        <w:rFonts w:hint="eastAsia" w:ascii="Cambria Math" w:hAnsi="Cambria Math" w:eastAsia="仿宋_GB2312"/>
                        <w:sz w:val="24"/>
                        <w:szCs w:val="24"/>
                      </w:rPr>
                      <m:t>8</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6E4FB63D">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60BB796F">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bl>
    <w:p w14:paraId="762C4428">
      <w:pPr>
        <w:spacing w:before="312" w:beforeLines="100" w:after="312" w:afterLines="100"/>
        <w:ind w:left="-6" w:hanging="11"/>
        <w:rPr>
          <w:rFonts w:ascii="仿宋_GB2312" w:eastAsia="仿宋_GB2312"/>
          <w:b/>
          <w:sz w:val="30"/>
        </w:rPr>
      </w:pPr>
      <w:r>
        <w:rPr>
          <w:rFonts w:ascii="仿宋_GB2312" w:eastAsia="仿宋_GB2312"/>
          <w:b/>
          <w:sz w:val="30"/>
        </w:rPr>
        <w:t xml:space="preserve">实际操作结束时间（根据现场钟表填写）：       </w:t>
      </w:r>
    </w:p>
    <w:p w14:paraId="6E200AEC">
      <w:pPr>
        <w:spacing w:after="168"/>
        <w:rPr>
          <w:rFonts w:ascii="Times New Roman" w:hAnsi="Times New Roman" w:eastAsia="Times New Roman" w:cs="Times New Roman"/>
          <w:b/>
          <w:sz w:val="24"/>
        </w:rPr>
      </w:pPr>
    </w:p>
    <w:p w14:paraId="571D8F68">
      <w:pPr>
        <w:spacing w:after="168"/>
        <w:rPr>
          <w:rFonts w:ascii="Times New Roman" w:hAnsi="Times New Roman" w:cs="Times New Roman"/>
          <w:b/>
          <w:sz w:val="24"/>
        </w:rPr>
      </w:pPr>
    </w:p>
    <w:p w14:paraId="434AC61E">
      <w:pPr>
        <w:spacing w:after="168"/>
        <w:rPr>
          <w:rFonts w:ascii="Times New Roman" w:hAnsi="Times New Roman" w:cs="Times New Roman"/>
          <w:b/>
          <w:sz w:val="24"/>
        </w:rPr>
      </w:pPr>
    </w:p>
    <w:p w14:paraId="15B87D96">
      <w:pPr>
        <w:spacing w:after="188"/>
        <w:jc w:val="center"/>
        <w:rPr>
          <w:rFonts w:ascii="方正小标宋简体" w:eastAsia="方正小标宋简体"/>
        </w:rPr>
      </w:pPr>
      <w:r>
        <w:rPr>
          <w:rFonts w:ascii="Times New Roman" w:hAnsi="Times New Roman" w:eastAsia="Times New Roman" w:cs="Times New Roman"/>
          <w:b/>
          <w:sz w:val="24"/>
        </w:rPr>
        <w:t xml:space="preserve"> </w:t>
      </w:r>
      <w:r>
        <w:rPr>
          <w:rFonts w:hint="eastAsia" w:ascii="方正小标宋简体" w:eastAsia="方正小标宋简体"/>
          <w:sz w:val="36"/>
          <w:lang w:val="en-US" w:eastAsia="zh-CN"/>
        </w:rPr>
        <w:t>2025年河北省</w:t>
      </w:r>
      <w:r>
        <w:rPr>
          <w:rFonts w:hint="eastAsia" w:ascii="方正小标宋简体" w:eastAsia="方正小标宋简体"/>
          <w:sz w:val="36"/>
        </w:rPr>
        <w:t>职业院校技能大赛植物嫁接赛项</w:t>
      </w:r>
    </w:p>
    <w:p w14:paraId="4CEF940C">
      <w:pPr>
        <w:spacing w:after="188"/>
        <w:jc w:val="center"/>
        <w:rPr>
          <w:rFonts w:ascii="方正小标宋简体" w:eastAsia="方正小标宋简体"/>
          <w:sz w:val="36"/>
        </w:rPr>
      </w:pPr>
      <w:r>
        <w:rPr>
          <w:rFonts w:hint="eastAsia" w:ascii="方正小标宋简体" w:eastAsia="方正小标宋简体"/>
          <w:sz w:val="36"/>
        </w:rPr>
        <w:t>营养液配制操作试题（六）</w:t>
      </w:r>
    </w:p>
    <w:p w14:paraId="2395D106">
      <w:pPr>
        <w:spacing w:after="203"/>
        <w:ind w:left="1422"/>
        <w:jc w:val="center"/>
      </w:pPr>
    </w:p>
    <w:p w14:paraId="21577CC0">
      <w:pPr>
        <w:spacing w:before="312" w:beforeLines="100" w:after="312" w:afterLines="100"/>
        <w:ind w:left="-6" w:hanging="11"/>
        <w:rPr>
          <w:rFonts w:ascii="仿宋_GB2312" w:eastAsia="仿宋_GB2312"/>
          <w:b/>
          <w:sz w:val="30"/>
        </w:rPr>
      </w:pPr>
      <w:r>
        <w:rPr>
          <w:rFonts w:hint="eastAsia" w:ascii="仿宋_GB2312" w:eastAsia="仿宋_GB2312"/>
          <w:b/>
          <w:sz w:val="30"/>
        </w:rPr>
        <w:t>工位号：                    分数：</w:t>
      </w:r>
    </w:p>
    <w:p w14:paraId="3412D041">
      <w:pPr>
        <w:spacing w:before="312" w:beforeLines="100" w:after="312" w:afterLines="100"/>
        <w:ind w:left="-6" w:hanging="11"/>
        <w:rPr>
          <w:rFonts w:ascii="仿宋_GB2312" w:eastAsia="仿宋_GB2312"/>
          <w:b/>
        </w:rPr>
      </w:pPr>
      <w:r>
        <w:rPr>
          <w:rFonts w:hint="eastAsia" w:ascii="仿宋_GB2312" w:eastAsia="仿宋_GB2312"/>
          <w:b/>
          <w:sz w:val="30"/>
        </w:rPr>
        <w:t xml:space="preserve">一、母液配制 </w:t>
      </w:r>
    </w:p>
    <w:tbl>
      <w:tblPr>
        <w:tblStyle w:val="11"/>
        <w:tblW w:w="8558" w:type="dxa"/>
        <w:tblInd w:w="-122" w:type="dxa"/>
        <w:tblLayout w:type="autofit"/>
        <w:tblCellMar>
          <w:top w:w="0" w:type="dxa"/>
          <w:left w:w="113" w:type="dxa"/>
          <w:bottom w:w="8" w:type="dxa"/>
          <w:right w:w="55" w:type="dxa"/>
        </w:tblCellMar>
      </w:tblPr>
      <w:tblGrid>
        <w:gridCol w:w="900"/>
        <w:gridCol w:w="1841"/>
        <w:gridCol w:w="1702"/>
        <w:gridCol w:w="708"/>
        <w:gridCol w:w="994"/>
        <w:gridCol w:w="1133"/>
        <w:gridCol w:w="1280"/>
      </w:tblGrid>
      <w:tr w14:paraId="2BF96C30">
        <w:tblPrEx>
          <w:tblCellMar>
            <w:top w:w="0" w:type="dxa"/>
            <w:left w:w="113" w:type="dxa"/>
            <w:bottom w:w="8" w:type="dxa"/>
            <w:right w:w="55" w:type="dxa"/>
          </w:tblCellMar>
        </w:tblPrEx>
        <w:trPr>
          <w:trHeight w:val="812"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593370CF">
            <w:pPr>
              <w:ind w:left="127"/>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0A9DBC8A">
            <w:pPr>
              <w:ind w:right="56"/>
              <w:jc w:val="center"/>
              <w:rPr>
                <w:rFonts w:ascii="仿宋_GB2312" w:eastAsia="仿宋_GB2312"/>
                <w:sz w:val="24"/>
                <w:szCs w:val="24"/>
              </w:rPr>
            </w:pPr>
            <w:r>
              <w:rPr>
                <w:rFonts w:hint="eastAsia" w:ascii="仿宋_GB2312" w:eastAsia="仿宋_GB2312"/>
                <w:sz w:val="24"/>
                <w:szCs w:val="24"/>
              </w:rPr>
              <w:t>成份</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5A95C2E8">
            <w:pPr>
              <w:ind w:left="36"/>
              <w:jc w:val="center"/>
              <w:rPr>
                <w:rFonts w:ascii="仿宋_GB2312" w:eastAsia="仿宋_GB2312"/>
                <w:sz w:val="24"/>
                <w:szCs w:val="24"/>
              </w:rPr>
            </w:pPr>
            <w:r>
              <w:rPr>
                <w:rFonts w:hint="eastAsia" w:ascii="仿宋_GB2312" w:eastAsia="仿宋_GB2312"/>
                <w:sz w:val="24"/>
                <w:szCs w:val="24"/>
              </w:rPr>
              <w:t>标准用量</w:t>
            </w:r>
            <w:r>
              <w:rPr>
                <w:rFonts w:hint="eastAsia" w:ascii="仿宋_GB2312" w:hAnsi="Calibri" w:eastAsia="仿宋_GB2312" w:cs="Calibri"/>
                <w:sz w:val="24"/>
                <w:szCs w:val="24"/>
              </w:rPr>
              <w:t>(mg/L)</w:t>
            </w:r>
          </w:p>
        </w:tc>
        <w:tc>
          <w:tcPr>
            <w:tcW w:w="708" w:type="dxa"/>
            <w:tcBorders>
              <w:top w:val="single" w:color="000000" w:sz="4" w:space="0"/>
              <w:left w:val="single" w:color="000000" w:sz="4" w:space="0"/>
              <w:bottom w:val="single" w:color="000000" w:sz="4" w:space="0"/>
              <w:right w:val="single" w:color="000000" w:sz="4" w:space="0"/>
            </w:tcBorders>
            <w:vAlign w:val="center"/>
          </w:tcPr>
          <w:p w14:paraId="54D54E8C">
            <w:pPr>
              <w:jc w:val="center"/>
              <w:rPr>
                <w:rFonts w:ascii="仿宋_GB2312" w:eastAsia="仿宋_GB2312"/>
                <w:sz w:val="24"/>
                <w:szCs w:val="24"/>
              </w:rPr>
            </w:pPr>
            <w:r>
              <w:rPr>
                <w:rFonts w:hint="eastAsia" w:ascii="仿宋_GB2312" w:eastAsia="仿宋_GB2312"/>
                <w:sz w:val="24"/>
                <w:szCs w:val="24"/>
              </w:rPr>
              <w:t>浓缩倍数</w:t>
            </w:r>
            <w:r>
              <w:rPr>
                <w:rFonts w:hint="eastAsia" w:ascii="仿宋_GB2312" w:hAnsi="Calibri" w:eastAsia="仿宋_GB2312" w:cs="Calibri"/>
                <w:sz w:val="24"/>
                <w:szCs w:val="24"/>
              </w:rPr>
              <w:t xml:space="preserve"> </w:t>
            </w:r>
          </w:p>
        </w:tc>
        <w:tc>
          <w:tcPr>
            <w:tcW w:w="994" w:type="dxa"/>
            <w:tcBorders>
              <w:top w:val="single" w:color="000000" w:sz="4" w:space="0"/>
              <w:left w:val="single" w:color="000000" w:sz="4" w:space="0"/>
              <w:bottom w:val="single" w:color="000000" w:sz="4" w:space="0"/>
              <w:right w:val="single" w:color="000000" w:sz="4" w:space="0"/>
            </w:tcBorders>
          </w:tcPr>
          <w:p w14:paraId="4C44F4A6">
            <w:pPr>
              <w:spacing w:line="255" w:lineRule="auto"/>
              <w:jc w:val="center"/>
              <w:rPr>
                <w:rFonts w:ascii="仿宋_GB2312" w:eastAsia="仿宋_GB2312"/>
                <w:sz w:val="24"/>
                <w:szCs w:val="24"/>
              </w:rPr>
            </w:pPr>
            <w:r>
              <w:rPr>
                <w:rFonts w:hint="eastAsia" w:ascii="仿宋_GB2312" w:eastAsia="仿宋_GB2312"/>
                <w:sz w:val="24"/>
                <w:szCs w:val="24"/>
              </w:rPr>
              <w:t>配制母液体积</w:t>
            </w:r>
          </w:p>
          <w:p w14:paraId="45B4CE5C">
            <w:pPr>
              <w:ind w:right="58"/>
              <w:jc w:val="center"/>
              <w:rPr>
                <w:rFonts w:ascii="仿宋_GB2312" w:eastAsia="仿宋_GB2312"/>
                <w:sz w:val="24"/>
                <w:szCs w:val="24"/>
              </w:rPr>
            </w:pPr>
            <w:r>
              <w:rPr>
                <w:rFonts w:hint="eastAsia" w:ascii="仿宋_GB2312" w:hAnsi="Calibri" w:eastAsia="仿宋_GB2312" w:cs="Calibri"/>
                <w:sz w:val="24"/>
                <w:szCs w:val="24"/>
              </w:rPr>
              <w:t xml:space="preserve">(ml) </w:t>
            </w:r>
          </w:p>
        </w:tc>
        <w:tc>
          <w:tcPr>
            <w:tcW w:w="1133" w:type="dxa"/>
            <w:tcBorders>
              <w:top w:val="single" w:color="000000" w:sz="4" w:space="0"/>
              <w:left w:val="single" w:color="000000" w:sz="4" w:space="0"/>
              <w:bottom w:val="single" w:color="000000" w:sz="4" w:space="0"/>
              <w:right w:val="single" w:color="000000" w:sz="4" w:space="0"/>
            </w:tcBorders>
            <w:vAlign w:val="center"/>
          </w:tcPr>
          <w:p w14:paraId="3CB4B26E">
            <w:pPr>
              <w:jc w:val="center"/>
              <w:rPr>
                <w:rFonts w:ascii="仿宋_GB2312" w:eastAsia="仿宋_GB2312"/>
                <w:sz w:val="24"/>
                <w:szCs w:val="24"/>
              </w:rPr>
            </w:pPr>
            <w:r>
              <w:rPr>
                <w:rFonts w:hint="eastAsia" w:ascii="仿宋_GB2312" w:eastAsia="仿宋_GB2312"/>
                <w:sz w:val="24"/>
                <w:szCs w:val="24"/>
              </w:rPr>
              <w:t>理论计算值</w:t>
            </w:r>
            <w:r>
              <w:rPr>
                <w:rFonts w:hint="eastAsia" w:ascii="仿宋_GB2312" w:hAnsi="Calibri" w:eastAsia="仿宋_GB2312" w:cs="Calibri"/>
                <w:sz w:val="24"/>
                <w:szCs w:val="24"/>
              </w:rPr>
              <w:t xml:space="preserve">(g) </w:t>
            </w:r>
          </w:p>
        </w:tc>
        <w:tc>
          <w:tcPr>
            <w:tcW w:w="1280" w:type="dxa"/>
            <w:tcBorders>
              <w:top w:val="single" w:color="000000" w:sz="4" w:space="0"/>
              <w:left w:val="single" w:color="000000" w:sz="4" w:space="0"/>
              <w:bottom w:val="single" w:color="000000" w:sz="4" w:space="0"/>
              <w:right w:val="single" w:color="000000" w:sz="4" w:space="0"/>
            </w:tcBorders>
            <w:vAlign w:val="center"/>
          </w:tcPr>
          <w:p w14:paraId="64831D89">
            <w:pPr>
              <w:rPr>
                <w:rFonts w:ascii="仿宋_GB2312" w:eastAsia="仿宋_GB2312"/>
                <w:sz w:val="24"/>
                <w:szCs w:val="24"/>
              </w:rPr>
            </w:pPr>
            <w:r>
              <w:rPr>
                <w:rFonts w:hint="eastAsia" w:ascii="仿宋_GB2312" w:eastAsia="仿宋_GB2312"/>
                <w:sz w:val="24"/>
                <w:szCs w:val="24"/>
              </w:rPr>
              <w:t>实际称取值</w:t>
            </w:r>
            <w:r>
              <w:rPr>
                <w:rFonts w:hint="eastAsia" w:ascii="仿宋_GB2312" w:hAnsi="Calibri" w:eastAsia="仿宋_GB2312" w:cs="Calibri"/>
                <w:sz w:val="24"/>
                <w:szCs w:val="24"/>
              </w:rPr>
              <w:t xml:space="preserve">(g) </w:t>
            </w:r>
          </w:p>
        </w:tc>
      </w:tr>
      <w:tr w14:paraId="649A67E2">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344A947C">
            <w:pPr>
              <w:ind w:right="58"/>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78731511">
            <w:pPr>
              <w:ind w:right="55"/>
              <w:jc w:val="center"/>
              <w:rPr>
                <w:rFonts w:ascii="仿宋_GB2312" w:eastAsia="仿宋_GB2312"/>
                <w:sz w:val="24"/>
                <w:szCs w:val="24"/>
              </w:rPr>
            </w:pPr>
            <w:r>
              <w:rPr>
                <w:rFonts w:hint="eastAsia" w:ascii="仿宋_GB2312" w:hAnsi="Calibri" w:eastAsia="仿宋_GB2312" w:cs="Calibri"/>
                <w:sz w:val="24"/>
                <w:szCs w:val="24"/>
              </w:rPr>
              <w:t>Ca(NO</w:t>
            </w:r>
            <w:r>
              <w:rPr>
                <w:rFonts w:hint="eastAsia" w:ascii="仿宋_GB2312" w:hAnsi="Calibri" w:eastAsia="仿宋_GB2312" w:cs="Calibri"/>
                <w:sz w:val="24"/>
                <w:szCs w:val="24"/>
                <w:vertAlign w:val="subscript"/>
              </w:rPr>
              <w:t>3</w:t>
            </w:r>
            <w:r>
              <w:rPr>
                <w:rFonts w:hint="eastAsia" w:ascii="仿宋_GB2312" w:hAnsi="Calibri" w:eastAsia="仿宋_GB2312" w:cs="Calibri"/>
                <w:sz w:val="24"/>
                <w:szCs w:val="24"/>
              </w:rPr>
              <w:t>)</w:t>
            </w:r>
            <w:r>
              <w:rPr>
                <w:rFonts w:hint="eastAsia" w:ascii="仿宋_GB2312" w:hAnsi="Calibri" w:eastAsia="仿宋_GB2312" w:cs="Calibri"/>
                <w:sz w:val="24"/>
                <w:szCs w:val="24"/>
                <w:vertAlign w:val="subscript"/>
              </w:rPr>
              <w:t>2</w:t>
            </w:r>
            <w:r>
              <w:rPr>
                <w:rFonts w:hint="eastAsia"/>
                <w:sz w:val="24"/>
                <w:szCs w:val="24"/>
              </w:rPr>
              <w:t>﹒</w:t>
            </w:r>
            <w:r>
              <w:rPr>
                <w:rFonts w:hint="eastAsia" w:ascii="仿宋_GB2312" w:hAnsi="Calibri" w:eastAsia="仿宋_GB2312" w:cs="Calibri"/>
                <w:sz w:val="24"/>
                <w:szCs w:val="24"/>
              </w:rPr>
              <w:t>4H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000000" w:sz="4" w:space="0"/>
              <w:left w:val="single" w:color="000000" w:sz="4" w:space="0"/>
              <w:bottom w:val="single" w:color="000000" w:sz="4" w:space="0"/>
              <w:right w:val="single" w:color="000000" w:sz="4" w:space="0"/>
            </w:tcBorders>
            <w:vAlign w:val="center"/>
          </w:tcPr>
          <w:p w14:paraId="0E48F978">
            <w:pPr>
              <w:ind w:right="56"/>
              <w:jc w:val="center"/>
              <w:rPr>
                <w:rFonts w:ascii="仿宋_GB2312" w:eastAsia="仿宋_GB2312"/>
                <w:sz w:val="24"/>
                <w:szCs w:val="24"/>
              </w:rPr>
            </w:pPr>
            <w:r>
              <w:rPr>
                <w:rFonts w:hint="eastAsia" w:ascii="仿宋_GB2312" w:hAnsi="Calibri" w:eastAsia="仿宋_GB2312" w:cs="Calibri"/>
                <w:sz w:val="24"/>
                <w:szCs w:val="24"/>
              </w:rPr>
              <w:t xml:space="preserve">945 </w:t>
            </w:r>
          </w:p>
        </w:tc>
        <w:tc>
          <w:tcPr>
            <w:tcW w:w="708" w:type="dxa"/>
            <w:tcBorders>
              <w:top w:val="single" w:color="000000" w:sz="4" w:space="0"/>
              <w:left w:val="single" w:color="000000" w:sz="4" w:space="0"/>
              <w:bottom w:val="single" w:color="000000" w:sz="4" w:space="0"/>
              <w:right w:val="single" w:color="000000" w:sz="4" w:space="0"/>
            </w:tcBorders>
            <w:vAlign w:val="center"/>
          </w:tcPr>
          <w:p w14:paraId="61954E93">
            <w:pPr>
              <w:ind w:left="120"/>
              <w:rPr>
                <w:rFonts w:ascii="仿宋_GB2312" w:eastAsia="仿宋_GB2312"/>
                <w:sz w:val="24"/>
                <w:szCs w:val="24"/>
              </w:rPr>
            </w:pPr>
            <w:r>
              <w:rPr>
                <w:rFonts w:hint="eastAsia" w:ascii="仿宋_GB2312" w:hAnsi="Calibri" w:eastAsia="仿宋_GB2312" w:cs="Calibri"/>
                <w:sz w:val="24"/>
                <w:szCs w:val="24"/>
              </w:rPr>
              <w:t>65</w:t>
            </w:r>
          </w:p>
        </w:tc>
        <w:tc>
          <w:tcPr>
            <w:tcW w:w="994" w:type="dxa"/>
            <w:tcBorders>
              <w:top w:val="single" w:color="000000" w:sz="4" w:space="0"/>
              <w:left w:val="single" w:color="000000" w:sz="4" w:space="0"/>
              <w:bottom w:val="single" w:color="000000" w:sz="4" w:space="0"/>
              <w:right w:val="single" w:color="000000" w:sz="4" w:space="0"/>
            </w:tcBorders>
            <w:vAlign w:val="center"/>
          </w:tcPr>
          <w:p w14:paraId="3894AADC">
            <w:pPr>
              <w:ind w:right="62"/>
              <w:jc w:val="center"/>
              <w:rPr>
                <w:rFonts w:ascii="仿宋_GB2312" w:eastAsia="仿宋_GB2312"/>
                <w:sz w:val="24"/>
                <w:szCs w:val="24"/>
              </w:rPr>
            </w:pPr>
            <w:r>
              <w:rPr>
                <w:rFonts w:hint="eastAsia" w:ascii="仿宋_GB2312" w:hAnsi="Calibri" w:eastAsia="仿宋_GB2312" w:cs="Calibri"/>
                <w:sz w:val="24"/>
                <w:szCs w:val="24"/>
              </w:rPr>
              <w:t>250</w:t>
            </w:r>
          </w:p>
        </w:tc>
        <w:tc>
          <w:tcPr>
            <w:tcW w:w="1133" w:type="dxa"/>
            <w:tcBorders>
              <w:top w:val="single" w:color="000000" w:sz="4" w:space="0"/>
              <w:left w:val="single" w:color="000000" w:sz="4" w:space="0"/>
              <w:bottom w:val="single" w:color="000000" w:sz="4" w:space="0"/>
              <w:right w:val="single" w:color="000000" w:sz="4" w:space="0"/>
            </w:tcBorders>
            <w:vAlign w:val="center"/>
          </w:tcPr>
          <w:p w14:paraId="76727DC2">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7AF6BACE">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2FDE2C7E">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364691F9">
            <w:pPr>
              <w:ind w:right="55"/>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34F077ED">
            <w:pPr>
              <w:ind w:right="57"/>
              <w:jc w:val="center"/>
              <w:rPr>
                <w:rFonts w:ascii="仿宋_GB2312" w:eastAsia="仿宋_GB2312"/>
                <w:sz w:val="24"/>
                <w:szCs w:val="24"/>
              </w:rPr>
            </w:pPr>
            <w:r>
              <w:rPr>
                <w:rFonts w:hint="eastAsia" w:ascii="仿宋_GB2312" w:hAnsi="Calibri" w:eastAsia="仿宋_GB2312" w:cs="Calibri"/>
                <w:sz w:val="24"/>
                <w:szCs w:val="24"/>
              </w:rPr>
              <w:t>NH</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PO</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2630145B">
            <w:pPr>
              <w:ind w:right="56"/>
              <w:jc w:val="center"/>
              <w:rPr>
                <w:rFonts w:ascii="仿宋_GB2312" w:eastAsia="仿宋_GB2312"/>
                <w:sz w:val="24"/>
                <w:szCs w:val="24"/>
              </w:rPr>
            </w:pPr>
            <w:r>
              <w:rPr>
                <w:rFonts w:hint="eastAsia" w:ascii="仿宋_GB2312" w:hAnsi="Calibri" w:eastAsia="仿宋_GB2312" w:cs="Calibri"/>
                <w:sz w:val="24"/>
                <w:szCs w:val="24"/>
              </w:rPr>
              <w:t xml:space="preserve">153 </w:t>
            </w:r>
          </w:p>
        </w:tc>
        <w:tc>
          <w:tcPr>
            <w:tcW w:w="708" w:type="dxa"/>
            <w:tcBorders>
              <w:top w:val="single" w:color="000000" w:sz="4" w:space="0"/>
              <w:left w:val="single" w:color="000000" w:sz="4" w:space="0"/>
              <w:bottom w:val="single" w:color="000000" w:sz="4" w:space="0"/>
              <w:right w:val="single" w:color="000000" w:sz="4" w:space="0"/>
            </w:tcBorders>
            <w:vAlign w:val="center"/>
          </w:tcPr>
          <w:p w14:paraId="1E732893">
            <w:pPr>
              <w:ind w:left="120"/>
              <w:rPr>
                <w:rFonts w:ascii="仿宋_GB2312" w:eastAsia="仿宋_GB2312"/>
                <w:sz w:val="24"/>
                <w:szCs w:val="24"/>
              </w:rPr>
            </w:pPr>
            <w:r>
              <w:rPr>
                <w:rFonts w:hint="eastAsia" w:ascii="仿宋_GB2312" w:hAnsi="Calibri" w:eastAsia="仿宋_GB2312" w:cs="Calibri"/>
                <w:sz w:val="24"/>
                <w:szCs w:val="24"/>
              </w:rPr>
              <w:t>40</w:t>
            </w:r>
          </w:p>
        </w:tc>
        <w:tc>
          <w:tcPr>
            <w:tcW w:w="994" w:type="dxa"/>
            <w:tcBorders>
              <w:top w:val="single" w:color="000000" w:sz="4" w:space="0"/>
              <w:left w:val="single" w:color="000000" w:sz="4" w:space="0"/>
              <w:bottom w:val="single" w:color="000000" w:sz="4" w:space="0"/>
              <w:right w:val="single" w:color="000000" w:sz="4" w:space="0"/>
            </w:tcBorders>
            <w:vAlign w:val="center"/>
          </w:tcPr>
          <w:p w14:paraId="450C3BA6">
            <w:pPr>
              <w:ind w:right="62"/>
              <w:jc w:val="center"/>
              <w:rPr>
                <w:rFonts w:ascii="仿宋_GB2312" w:eastAsia="仿宋_GB2312"/>
                <w:sz w:val="24"/>
                <w:szCs w:val="24"/>
              </w:rPr>
            </w:pPr>
            <w:r>
              <w:rPr>
                <w:rFonts w:hint="eastAsia" w:ascii="仿宋_GB2312" w:hAnsi="Calibri" w:eastAsia="仿宋_GB2312" w:cs="Calibri"/>
                <w:sz w:val="24"/>
                <w:szCs w:val="24"/>
              </w:rPr>
              <w:t xml:space="preserve">500 </w:t>
            </w:r>
          </w:p>
        </w:tc>
        <w:tc>
          <w:tcPr>
            <w:tcW w:w="1133" w:type="dxa"/>
            <w:tcBorders>
              <w:top w:val="single" w:color="000000" w:sz="4" w:space="0"/>
              <w:left w:val="single" w:color="000000" w:sz="4" w:space="0"/>
              <w:bottom w:val="single" w:color="000000" w:sz="4" w:space="0"/>
              <w:right w:val="single" w:color="000000" w:sz="4" w:space="0"/>
            </w:tcBorders>
            <w:vAlign w:val="center"/>
          </w:tcPr>
          <w:p w14:paraId="6272EDC9">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57117119">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484D5FD1">
        <w:tblPrEx>
          <w:tblCellMar>
            <w:top w:w="0" w:type="dxa"/>
            <w:left w:w="113" w:type="dxa"/>
            <w:bottom w:w="8" w:type="dxa"/>
            <w:right w:w="55" w:type="dxa"/>
          </w:tblCellMar>
        </w:tblPrEx>
        <w:trPr>
          <w:trHeight w:val="466" w:hRule="atLeast"/>
        </w:trPr>
        <w:tc>
          <w:tcPr>
            <w:tcW w:w="900" w:type="dxa"/>
            <w:vMerge w:val="restart"/>
            <w:tcBorders>
              <w:top w:val="single" w:color="000000" w:sz="4" w:space="0"/>
              <w:left w:val="single" w:color="000000" w:sz="4" w:space="0"/>
              <w:bottom w:val="nil"/>
              <w:right w:val="single" w:color="000000" w:sz="4" w:space="0"/>
            </w:tcBorders>
            <w:vAlign w:val="center"/>
          </w:tcPr>
          <w:p w14:paraId="3D39F57F">
            <w:pPr>
              <w:ind w:right="58"/>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p>
        </w:tc>
        <w:tc>
          <w:tcPr>
            <w:tcW w:w="1841" w:type="dxa"/>
            <w:tcBorders>
              <w:top w:val="single" w:color="000000" w:sz="4" w:space="0"/>
              <w:left w:val="single" w:color="000000" w:sz="4" w:space="0"/>
              <w:bottom w:val="single" w:color="000000" w:sz="4" w:space="0"/>
              <w:right w:val="single" w:color="000000" w:sz="4" w:space="0"/>
            </w:tcBorders>
            <w:vAlign w:val="center"/>
          </w:tcPr>
          <w:p w14:paraId="428FBECA">
            <w:pPr>
              <w:ind w:right="55"/>
              <w:jc w:val="center"/>
              <w:rPr>
                <w:rFonts w:ascii="仿宋_GB2312" w:eastAsia="仿宋_GB2312"/>
                <w:sz w:val="24"/>
                <w:szCs w:val="24"/>
              </w:rPr>
            </w:pPr>
            <w:r>
              <w:rPr>
                <w:rFonts w:hint="eastAsia" w:ascii="仿宋_GB2312" w:hAnsi="Calibri" w:eastAsia="仿宋_GB2312" w:cs="Calibri"/>
                <w:sz w:val="24"/>
                <w:szCs w:val="24"/>
              </w:rPr>
              <w:t>FeSO</w:t>
            </w:r>
            <w:r>
              <w:rPr>
                <w:rFonts w:hint="eastAsia" w:ascii="仿宋_GB2312" w:hAnsi="Calibri" w:eastAsia="仿宋_GB2312" w:cs="Calibri"/>
                <w:sz w:val="24"/>
                <w:szCs w:val="24"/>
                <w:vertAlign w:val="subscript"/>
              </w:rPr>
              <w:t>4</w:t>
            </w:r>
            <w:r>
              <w:rPr>
                <w:rFonts w:hint="eastAsia"/>
                <w:sz w:val="24"/>
                <w:szCs w:val="24"/>
              </w:rPr>
              <w:t>﹒</w:t>
            </w:r>
            <w:r>
              <w:rPr>
                <w:rFonts w:hint="eastAsia" w:ascii="仿宋_GB2312" w:hAnsi="Calibri" w:eastAsia="仿宋_GB2312" w:cs="Calibri"/>
                <w:sz w:val="24"/>
                <w:szCs w:val="24"/>
              </w:rPr>
              <w:t>7H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O</w:t>
            </w:r>
          </w:p>
        </w:tc>
        <w:tc>
          <w:tcPr>
            <w:tcW w:w="1702" w:type="dxa"/>
            <w:tcBorders>
              <w:top w:val="single" w:color="000000" w:sz="4" w:space="0"/>
              <w:left w:val="single" w:color="000000" w:sz="4" w:space="0"/>
              <w:bottom w:val="single" w:color="000000" w:sz="4" w:space="0"/>
              <w:right w:val="single" w:color="000000" w:sz="4" w:space="0"/>
            </w:tcBorders>
            <w:vAlign w:val="center"/>
          </w:tcPr>
          <w:p w14:paraId="3805B235">
            <w:pPr>
              <w:ind w:right="57"/>
              <w:jc w:val="center"/>
              <w:rPr>
                <w:rFonts w:ascii="仿宋_GB2312" w:eastAsia="仿宋_GB2312"/>
                <w:sz w:val="24"/>
                <w:szCs w:val="24"/>
              </w:rPr>
            </w:pPr>
            <w:r>
              <w:rPr>
                <w:rFonts w:hint="eastAsia" w:ascii="仿宋_GB2312" w:hAnsi="Calibri" w:eastAsia="仿宋_GB2312" w:cs="Calibri"/>
                <w:sz w:val="24"/>
                <w:szCs w:val="24"/>
              </w:rPr>
              <w:t>13.9</w:t>
            </w:r>
          </w:p>
        </w:tc>
        <w:tc>
          <w:tcPr>
            <w:tcW w:w="708" w:type="dxa"/>
            <w:vMerge w:val="restart"/>
            <w:tcBorders>
              <w:top w:val="single" w:color="000000" w:sz="4" w:space="0"/>
              <w:left w:val="single" w:color="000000" w:sz="4" w:space="0"/>
              <w:bottom w:val="nil"/>
              <w:right w:val="single" w:color="000000" w:sz="4" w:space="0"/>
            </w:tcBorders>
            <w:vAlign w:val="center"/>
          </w:tcPr>
          <w:p w14:paraId="0A9CBE07">
            <w:pPr>
              <w:ind w:left="60"/>
              <w:jc w:val="center"/>
              <w:rPr>
                <w:rFonts w:ascii="仿宋_GB2312" w:eastAsia="仿宋_GB2312"/>
                <w:sz w:val="24"/>
                <w:szCs w:val="24"/>
              </w:rPr>
            </w:pPr>
            <w:r>
              <w:rPr>
                <w:rFonts w:hint="eastAsia" w:ascii="仿宋_GB2312" w:hAnsi="Calibri" w:eastAsia="仿宋_GB2312" w:cs="Calibri"/>
                <w:sz w:val="24"/>
                <w:szCs w:val="24"/>
              </w:rPr>
              <w:t>190</w:t>
            </w:r>
          </w:p>
        </w:tc>
        <w:tc>
          <w:tcPr>
            <w:tcW w:w="994" w:type="dxa"/>
            <w:vMerge w:val="restart"/>
            <w:tcBorders>
              <w:top w:val="single" w:color="000000" w:sz="4" w:space="0"/>
              <w:left w:val="single" w:color="000000" w:sz="4" w:space="0"/>
              <w:bottom w:val="nil"/>
              <w:right w:val="single" w:color="000000" w:sz="4" w:space="0"/>
            </w:tcBorders>
            <w:vAlign w:val="center"/>
          </w:tcPr>
          <w:p w14:paraId="792E5C41">
            <w:pPr>
              <w:ind w:right="62"/>
              <w:jc w:val="center"/>
              <w:rPr>
                <w:rFonts w:ascii="仿宋_GB2312" w:eastAsia="仿宋_GB2312"/>
                <w:sz w:val="24"/>
                <w:szCs w:val="24"/>
              </w:rPr>
            </w:pPr>
            <w:r>
              <w:rPr>
                <w:rFonts w:hint="eastAsia" w:ascii="仿宋_GB2312" w:hAnsi="Calibri" w:eastAsia="仿宋_GB2312" w:cs="Calibri"/>
                <w:sz w:val="24"/>
                <w:szCs w:val="24"/>
              </w:rPr>
              <w:t>100</w:t>
            </w:r>
          </w:p>
        </w:tc>
        <w:tc>
          <w:tcPr>
            <w:tcW w:w="1133" w:type="dxa"/>
            <w:tcBorders>
              <w:top w:val="single" w:color="000000" w:sz="4" w:space="0"/>
              <w:left w:val="single" w:color="000000" w:sz="4" w:space="0"/>
              <w:bottom w:val="single" w:color="000000" w:sz="4" w:space="0"/>
              <w:right w:val="single" w:color="000000" w:sz="4" w:space="0"/>
            </w:tcBorders>
            <w:vAlign w:val="center"/>
          </w:tcPr>
          <w:p w14:paraId="592AFF03">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717F1D5B">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2F97F701">
        <w:tblPrEx>
          <w:tblCellMar>
            <w:top w:w="0" w:type="dxa"/>
            <w:left w:w="113" w:type="dxa"/>
            <w:bottom w:w="8" w:type="dxa"/>
            <w:right w:w="55" w:type="dxa"/>
          </w:tblCellMar>
        </w:tblPrEx>
        <w:trPr>
          <w:trHeight w:val="163" w:hRule="atLeast"/>
        </w:trPr>
        <w:tc>
          <w:tcPr>
            <w:tcW w:w="0" w:type="auto"/>
            <w:vMerge w:val="continue"/>
            <w:tcBorders>
              <w:top w:val="nil"/>
              <w:left w:val="single" w:color="000000" w:sz="4" w:space="0"/>
              <w:bottom w:val="single" w:color="auto" w:sz="4" w:space="0"/>
              <w:right w:val="single" w:color="000000" w:sz="4" w:space="0"/>
            </w:tcBorders>
            <w:vAlign w:val="center"/>
          </w:tcPr>
          <w:p w14:paraId="467A2A58">
            <w:pPr>
              <w:spacing w:after="160"/>
              <w:jc w:val="center"/>
              <w:rPr>
                <w:rFonts w:ascii="仿宋_GB2312" w:eastAsia="仿宋_GB2312"/>
                <w:sz w:val="24"/>
                <w:szCs w:val="24"/>
              </w:rPr>
            </w:pPr>
          </w:p>
        </w:tc>
        <w:tc>
          <w:tcPr>
            <w:tcW w:w="1841" w:type="dxa"/>
            <w:tcBorders>
              <w:top w:val="single" w:color="000000" w:sz="4" w:space="0"/>
              <w:left w:val="single" w:color="000000" w:sz="4" w:space="0"/>
              <w:bottom w:val="single" w:color="auto" w:sz="4" w:space="0"/>
              <w:right w:val="single" w:color="000000" w:sz="4" w:space="0"/>
            </w:tcBorders>
            <w:vAlign w:val="center"/>
          </w:tcPr>
          <w:p w14:paraId="00C2DC46">
            <w:pPr>
              <w:ind w:right="56"/>
              <w:jc w:val="center"/>
              <w:rPr>
                <w:rFonts w:ascii="仿宋_GB2312" w:eastAsia="仿宋_GB2312"/>
                <w:sz w:val="24"/>
                <w:szCs w:val="24"/>
              </w:rPr>
            </w:pPr>
            <w:r>
              <w:rPr>
                <w:rFonts w:hint="eastAsia" w:ascii="仿宋_GB2312" w:hAnsi="Calibri" w:eastAsia="仿宋_GB2312" w:cs="Calibri"/>
                <w:sz w:val="24"/>
                <w:szCs w:val="24"/>
              </w:rPr>
              <w:t>Na</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-EDTA</w:t>
            </w:r>
          </w:p>
        </w:tc>
        <w:tc>
          <w:tcPr>
            <w:tcW w:w="1702" w:type="dxa"/>
            <w:tcBorders>
              <w:top w:val="single" w:color="000000" w:sz="4" w:space="0"/>
              <w:left w:val="single" w:color="000000" w:sz="4" w:space="0"/>
              <w:bottom w:val="single" w:color="auto" w:sz="4" w:space="0"/>
              <w:right w:val="single" w:color="000000" w:sz="4" w:space="0"/>
            </w:tcBorders>
            <w:vAlign w:val="center"/>
          </w:tcPr>
          <w:p w14:paraId="2E49D2B9">
            <w:pPr>
              <w:ind w:right="57"/>
              <w:jc w:val="center"/>
              <w:rPr>
                <w:rFonts w:ascii="仿宋_GB2312" w:eastAsia="仿宋_GB2312"/>
                <w:sz w:val="24"/>
                <w:szCs w:val="24"/>
              </w:rPr>
            </w:pPr>
            <w:r>
              <w:rPr>
                <w:rFonts w:hint="eastAsia" w:ascii="仿宋_GB2312" w:hAnsi="Calibri" w:eastAsia="仿宋_GB2312" w:cs="Calibri"/>
                <w:sz w:val="24"/>
                <w:szCs w:val="24"/>
              </w:rPr>
              <w:t>18.6</w:t>
            </w:r>
          </w:p>
        </w:tc>
        <w:tc>
          <w:tcPr>
            <w:tcW w:w="0" w:type="auto"/>
            <w:vMerge w:val="continue"/>
            <w:tcBorders>
              <w:top w:val="nil"/>
              <w:left w:val="single" w:color="000000" w:sz="4" w:space="0"/>
              <w:bottom w:val="single" w:color="auto" w:sz="4" w:space="0"/>
              <w:right w:val="single" w:color="000000" w:sz="4" w:space="0"/>
            </w:tcBorders>
            <w:vAlign w:val="center"/>
          </w:tcPr>
          <w:p w14:paraId="75C45175">
            <w:pPr>
              <w:spacing w:after="160"/>
              <w:jc w:val="center"/>
              <w:rPr>
                <w:rFonts w:ascii="仿宋_GB2312" w:eastAsia="仿宋_GB2312"/>
                <w:sz w:val="24"/>
                <w:szCs w:val="24"/>
              </w:rPr>
            </w:pPr>
          </w:p>
        </w:tc>
        <w:tc>
          <w:tcPr>
            <w:tcW w:w="0" w:type="auto"/>
            <w:vMerge w:val="continue"/>
            <w:tcBorders>
              <w:top w:val="nil"/>
              <w:left w:val="single" w:color="000000" w:sz="4" w:space="0"/>
              <w:bottom w:val="single" w:color="auto" w:sz="4" w:space="0"/>
              <w:right w:val="single" w:color="000000" w:sz="4" w:space="0"/>
            </w:tcBorders>
            <w:vAlign w:val="center"/>
          </w:tcPr>
          <w:p w14:paraId="156E4737">
            <w:pPr>
              <w:spacing w:after="160"/>
              <w:jc w:val="center"/>
              <w:rPr>
                <w:rFonts w:ascii="仿宋_GB2312" w:eastAsia="仿宋_GB2312"/>
                <w:sz w:val="24"/>
                <w:szCs w:val="24"/>
              </w:rPr>
            </w:pPr>
          </w:p>
        </w:tc>
        <w:tc>
          <w:tcPr>
            <w:tcW w:w="1133" w:type="dxa"/>
            <w:tcBorders>
              <w:top w:val="single" w:color="000000" w:sz="4" w:space="0"/>
              <w:left w:val="single" w:color="000000" w:sz="4" w:space="0"/>
              <w:bottom w:val="single" w:color="auto" w:sz="4" w:space="0"/>
              <w:right w:val="single" w:color="000000" w:sz="4" w:space="0"/>
            </w:tcBorders>
          </w:tcPr>
          <w:p w14:paraId="4DD6773F">
            <w:pPr>
              <w:spacing w:after="160"/>
              <w:rPr>
                <w:rFonts w:ascii="仿宋_GB2312" w:eastAsia="仿宋_GB2312"/>
                <w:sz w:val="24"/>
                <w:szCs w:val="24"/>
              </w:rPr>
            </w:pPr>
          </w:p>
        </w:tc>
        <w:tc>
          <w:tcPr>
            <w:tcW w:w="1280" w:type="dxa"/>
            <w:tcBorders>
              <w:top w:val="single" w:color="000000" w:sz="4" w:space="0"/>
              <w:left w:val="single" w:color="000000" w:sz="4" w:space="0"/>
              <w:bottom w:val="single" w:color="auto" w:sz="4" w:space="0"/>
              <w:right w:val="single" w:color="000000" w:sz="4" w:space="0"/>
            </w:tcBorders>
          </w:tcPr>
          <w:p w14:paraId="7A445A44">
            <w:pPr>
              <w:spacing w:after="160"/>
              <w:rPr>
                <w:rFonts w:ascii="仿宋_GB2312" w:eastAsia="仿宋_GB2312"/>
                <w:sz w:val="24"/>
                <w:szCs w:val="24"/>
              </w:rPr>
            </w:pPr>
          </w:p>
        </w:tc>
      </w:tr>
    </w:tbl>
    <w:p w14:paraId="754CB28F">
      <w:pPr>
        <w:spacing w:before="312" w:beforeLines="100" w:after="312" w:afterLines="100"/>
        <w:ind w:left="-6" w:hanging="11"/>
        <w:rPr>
          <w:rFonts w:ascii="仿宋_GB2312" w:eastAsia="仿宋_GB2312"/>
          <w:b/>
          <w:sz w:val="30"/>
        </w:rPr>
      </w:pPr>
      <w:r>
        <w:rPr>
          <w:rFonts w:ascii="仿宋_GB2312" w:eastAsia="仿宋_GB2312"/>
          <w:b/>
          <w:sz w:val="30"/>
        </w:rPr>
        <w:t>二、工作液配制</w:t>
      </w:r>
    </w:p>
    <w:tbl>
      <w:tblPr>
        <w:tblStyle w:val="11"/>
        <w:tblW w:w="8529" w:type="dxa"/>
        <w:tblInd w:w="-108" w:type="dxa"/>
        <w:tblLayout w:type="autofit"/>
        <w:tblCellMar>
          <w:top w:w="0" w:type="dxa"/>
          <w:left w:w="108" w:type="dxa"/>
          <w:bottom w:w="0" w:type="dxa"/>
          <w:right w:w="17" w:type="dxa"/>
        </w:tblCellMar>
      </w:tblPr>
      <w:tblGrid>
        <w:gridCol w:w="1682"/>
        <w:gridCol w:w="2235"/>
        <w:gridCol w:w="1724"/>
        <w:gridCol w:w="1549"/>
        <w:gridCol w:w="1339"/>
      </w:tblGrid>
      <w:tr w14:paraId="57C2F870">
        <w:tblPrEx>
          <w:tblCellMar>
            <w:top w:w="0" w:type="dxa"/>
            <w:left w:w="108" w:type="dxa"/>
            <w:bottom w:w="0" w:type="dxa"/>
            <w:right w:w="17" w:type="dxa"/>
          </w:tblCellMar>
        </w:tblPrEx>
        <w:trPr>
          <w:trHeight w:val="554"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3F53F897">
            <w:pPr>
              <w:ind w:right="89"/>
              <w:jc w:val="center"/>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2235" w:type="dxa"/>
            <w:tcBorders>
              <w:top w:val="single" w:color="000000" w:sz="4" w:space="0"/>
              <w:left w:val="single" w:color="000000" w:sz="4" w:space="0"/>
              <w:bottom w:val="single" w:color="000000" w:sz="4" w:space="0"/>
              <w:right w:val="single" w:color="000000" w:sz="4" w:space="0"/>
            </w:tcBorders>
            <w:vAlign w:val="center"/>
          </w:tcPr>
          <w:p w14:paraId="04815141">
            <w:pPr>
              <w:jc w:val="center"/>
              <w:rPr>
                <w:rFonts w:ascii="仿宋_GB2312" w:eastAsia="仿宋_GB2312"/>
                <w:sz w:val="24"/>
                <w:szCs w:val="24"/>
              </w:rPr>
            </w:pPr>
            <w:r>
              <w:rPr>
                <w:rFonts w:hint="eastAsia" w:ascii="仿宋_GB2312" w:eastAsia="仿宋_GB2312"/>
                <w:sz w:val="24"/>
                <w:szCs w:val="24"/>
              </w:rPr>
              <w:t>配制工作液体积（</w:t>
            </w:r>
            <w:r>
              <w:rPr>
                <w:rFonts w:hint="eastAsia" w:ascii="仿宋_GB2312" w:hAnsi="Calibri" w:eastAsia="仿宋_GB2312" w:cs="Calibri"/>
                <w:sz w:val="24"/>
                <w:szCs w:val="24"/>
              </w:rPr>
              <w:t>ml</w:t>
            </w:r>
            <w:r>
              <w:rPr>
                <w:rFonts w:hint="eastAsia" w:ascii="仿宋_GB2312" w:eastAsia="仿宋_GB2312"/>
                <w:sz w:val="24"/>
                <w:szCs w:val="24"/>
              </w:rPr>
              <w:t>）</w:t>
            </w:r>
          </w:p>
        </w:tc>
        <w:tc>
          <w:tcPr>
            <w:tcW w:w="1724" w:type="dxa"/>
            <w:tcBorders>
              <w:top w:val="single" w:color="000000" w:sz="4" w:space="0"/>
              <w:left w:val="single" w:color="000000" w:sz="4" w:space="0"/>
              <w:bottom w:val="single" w:color="000000" w:sz="4" w:space="0"/>
              <w:right w:val="single" w:color="000000" w:sz="4" w:space="0"/>
            </w:tcBorders>
            <w:vAlign w:val="center"/>
          </w:tcPr>
          <w:p w14:paraId="30E5503E">
            <w:pPr>
              <w:ind w:right="94"/>
              <w:jc w:val="center"/>
              <w:rPr>
                <w:rFonts w:ascii="仿宋_GB2312" w:eastAsia="仿宋_GB2312"/>
                <w:sz w:val="24"/>
                <w:szCs w:val="24"/>
              </w:rPr>
            </w:pPr>
            <w:r>
              <w:rPr>
                <w:rFonts w:hint="eastAsia" w:ascii="仿宋_GB2312" w:eastAsia="仿宋_GB2312"/>
                <w:sz w:val="24"/>
                <w:szCs w:val="24"/>
              </w:rPr>
              <w:t>配制剂量</w:t>
            </w:r>
            <w:r>
              <w:rPr>
                <w:rFonts w:hint="eastAsia" w:ascii="仿宋_GB2312" w:hAnsi="Calibri" w:eastAsia="仿宋_GB2312" w:cs="Calibri"/>
                <w:sz w:val="24"/>
                <w:szCs w:val="24"/>
              </w:rPr>
              <w:t xml:space="preserve"> </w:t>
            </w:r>
          </w:p>
        </w:tc>
        <w:tc>
          <w:tcPr>
            <w:tcW w:w="1549" w:type="dxa"/>
            <w:tcBorders>
              <w:top w:val="single" w:color="000000" w:sz="4" w:space="0"/>
              <w:left w:val="single" w:color="000000" w:sz="4" w:space="0"/>
              <w:bottom w:val="single" w:color="000000" w:sz="4" w:space="0"/>
              <w:right w:val="single" w:color="000000" w:sz="4" w:space="0"/>
            </w:tcBorders>
          </w:tcPr>
          <w:p w14:paraId="6B511E7F">
            <w:pPr>
              <w:spacing w:after="27"/>
              <w:ind w:left="245"/>
              <w:rPr>
                <w:rFonts w:ascii="仿宋_GB2312" w:eastAsia="仿宋_GB2312"/>
                <w:sz w:val="24"/>
                <w:szCs w:val="24"/>
              </w:rPr>
            </w:pPr>
            <w:r>
              <w:rPr>
                <w:rFonts w:hint="eastAsia" w:ascii="仿宋_GB2312" w:eastAsia="仿宋_GB2312"/>
                <w:sz w:val="24"/>
                <w:szCs w:val="24"/>
              </w:rPr>
              <w:t>理论移取</w:t>
            </w:r>
            <w:r>
              <w:rPr>
                <w:rFonts w:hint="eastAsia" w:ascii="仿宋_GB2312" w:hAnsi="Calibri" w:eastAsia="仿宋_GB2312" w:cs="Calibri"/>
                <w:sz w:val="24"/>
                <w:szCs w:val="24"/>
              </w:rPr>
              <w:t xml:space="preserve"> </w:t>
            </w:r>
          </w:p>
          <w:p w14:paraId="732AB892">
            <w:pPr>
              <w:ind w:right="92"/>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 xml:space="preserve">(ml) </w:t>
            </w:r>
          </w:p>
        </w:tc>
        <w:tc>
          <w:tcPr>
            <w:tcW w:w="1339" w:type="dxa"/>
            <w:tcBorders>
              <w:top w:val="single" w:color="000000" w:sz="4" w:space="0"/>
              <w:left w:val="single" w:color="000000" w:sz="4" w:space="0"/>
              <w:bottom w:val="single" w:color="000000" w:sz="4" w:space="0"/>
              <w:right w:val="single" w:color="000000" w:sz="4" w:space="0"/>
            </w:tcBorders>
          </w:tcPr>
          <w:p w14:paraId="5C6C0081">
            <w:pPr>
              <w:spacing w:after="27"/>
              <w:ind w:left="142"/>
              <w:rPr>
                <w:rFonts w:ascii="仿宋_GB2312" w:eastAsia="仿宋_GB2312"/>
                <w:sz w:val="24"/>
                <w:szCs w:val="24"/>
              </w:rPr>
            </w:pPr>
            <w:r>
              <w:rPr>
                <w:rFonts w:hint="eastAsia" w:ascii="仿宋_GB2312" w:eastAsia="仿宋_GB2312"/>
                <w:sz w:val="24"/>
                <w:szCs w:val="24"/>
              </w:rPr>
              <w:t>实际移取</w:t>
            </w:r>
            <w:r>
              <w:rPr>
                <w:rFonts w:hint="eastAsia" w:ascii="仿宋_GB2312" w:hAnsi="Calibri" w:eastAsia="仿宋_GB2312" w:cs="Calibri"/>
                <w:sz w:val="24"/>
                <w:szCs w:val="24"/>
              </w:rPr>
              <w:t xml:space="preserve"> </w:t>
            </w:r>
          </w:p>
          <w:p w14:paraId="65D41569">
            <w:pPr>
              <w:ind w:left="74"/>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(ml)</w:t>
            </w:r>
          </w:p>
        </w:tc>
      </w:tr>
      <w:tr w14:paraId="25989B2F">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3A225EB8">
            <w:pPr>
              <w:ind w:right="91"/>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2235" w:type="dxa"/>
            <w:vMerge w:val="restart"/>
            <w:tcBorders>
              <w:top w:val="single" w:color="000000" w:sz="4" w:space="0"/>
              <w:left w:val="single" w:color="000000" w:sz="4" w:space="0"/>
              <w:bottom w:val="single" w:color="000000" w:sz="4" w:space="0"/>
              <w:right w:val="single" w:color="000000" w:sz="4" w:space="0"/>
            </w:tcBorders>
            <w:vAlign w:val="center"/>
          </w:tcPr>
          <w:p w14:paraId="209D90DE">
            <w:pPr>
              <w:ind w:right="89"/>
              <w:jc w:val="center"/>
              <w:rPr>
                <w:rFonts w:ascii="仿宋_GB2312" w:eastAsia="仿宋_GB2312"/>
                <w:sz w:val="24"/>
                <w:szCs w:val="24"/>
              </w:rPr>
            </w:pPr>
            <w:r>
              <w:rPr>
                <w:rFonts w:hint="eastAsia" w:ascii="仿宋_GB2312" w:hAnsi="Calibri" w:eastAsia="仿宋_GB2312" w:cs="Calibri"/>
                <w:sz w:val="24"/>
                <w:szCs w:val="24"/>
              </w:rPr>
              <w:t xml:space="preserve">1000 </w:t>
            </w:r>
          </w:p>
        </w:tc>
        <w:tc>
          <w:tcPr>
            <w:tcW w:w="1724" w:type="dxa"/>
            <w:tcBorders>
              <w:top w:val="single" w:color="000000" w:sz="4" w:space="0"/>
              <w:left w:val="single" w:color="000000" w:sz="4" w:space="0"/>
              <w:bottom w:val="single" w:color="000000" w:sz="4" w:space="0"/>
              <w:right w:val="single" w:color="000000" w:sz="4" w:space="0"/>
            </w:tcBorders>
          </w:tcPr>
          <w:p w14:paraId="259EBF54">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1</m:t>
                    </m:r>
                    <m:ctrlPr>
                      <w:rPr>
                        <w:rFonts w:hint="eastAsia" w:ascii="Cambria Math" w:hAnsi="Cambria Math" w:eastAsia="仿宋_GB2312"/>
                        <w:sz w:val="24"/>
                        <w:szCs w:val="24"/>
                      </w:rPr>
                    </m:ctrlPr>
                  </m:num>
                  <m:den>
                    <m:r>
                      <m:rPr/>
                      <w:rPr>
                        <w:rFonts w:hint="eastAsia" w:ascii="Cambria Math" w:hAnsi="Cambria Math" w:eastAsia="仿宋_GB2312"/>
                        <w:sz w:val="24"/>
                        <w:szCs w:val="24"/>
                      </w:rPr>
                      <m:t>5</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48652BB5">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56891BA3">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377B2B67">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2A0656E7">
            <w:pPr>
              <w:ind w:right="89"/>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nil"/>
              <w:right w:val="single" w:color="000000" w:sz="4" w:space="0"/>
            </w:tcBorders>
          </w:tcPr>
          <w:p w14:paraId="782406AA">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3479A206">
            <w:pPr>
              <w:rPr>
                <w:rFonts w:ascii="仿宋_GB2312" w:eastAsia="仿宋_GB2312"/>
                <w:sz w:val="24"/>
                <w:szCs w:val="24"/>
              </w:rPr>
            </w:pPr>
            <m:oMathPara>
              <m:oMathParaPr>
                <m:jc m:val="center"/>
              </m:oMathParaPr>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2</m:t>
                    </m:r>
                    <m:ctrlPr>
                      <w:rPr>
                        <w:rFonts w:hint="eastAsia" w:ascii="Cambria Math" w:hAnsi="Cambria Math" w:eastAsia="仿宋_GB2312"/>
                        <w:sz w:val="24"/>
                        <w:szCs w:val="24"/>
                      </w:rPr>
                    </m:ctrlPr>
                  </m:num>
                  <m:den>
                    <m:r>
                      <m:rPr/>
                      <w:rPr>
                        <w:rFonts w:hint="eastAsia" w:ascii="Cambria Math" w:hAnsi="Cambria Math" w:eastAsia="仿宋_GB2312"/>
                        <w:sz w:val="24"/>
                        <w:szCs w:val="24"/>
                      </w:rPr>
                      <m:t>7</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466199C0">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4F479FA3">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2097DF6B">
        <w:tblPrEx>
          <w:tblCellMar>
            <w:top w:w="0" w:type="dxa"/>
            <w:left w:w="108" w:type="dxa"/>
            <w:bottom w:w="0" w:type="dxa"/>
            <w:right w:w="17" w:type="dxa"/>
          </w:tblCellMar>
        </w:tblPrEx>
        <w:trPr>
          <w:trHeight w:val="653"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56F0B4FD">
            <w:pPr>
              <w:ind w:right="91"/>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single" w:color="000000" w:sz="4" w:space="0"/>
              <w:right w:val="single" w:color="000000" w:sz="4" w:space="0"/>
            </w:tcBorders>
          </w:tcPr>
          <w:p w14:paraId="3AE09883">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5910A8AE">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3</m:t>
                    </m:r>
                    <m:ctrlPr>
                      <w:rPr>
                        <w:rFonts w:hint="eastAsia" w:ascii="Cambria Math" w:hAnsi="Cambria Math" w:eastAsia="仿宋_GB2312"/>
                        <w:sz w:val="24"/>
                        <w:szCs w:val="24"/>
                      </w:rPr>
                    </m:ctrlPr>
                  </m:num>
                  <m:den>
                    <m:r>
                      <m:rPr/>
                      <w:rPr>
                        <w:rFonts w:hint="eastAsia" w:ascii="Cambria Math" w:hAnsi="Cambria Math" w:eastAsia="仿宋_GB2312"/>
                        <w:sz w:val="24"/>
                        <w:szCs w:val="24"/>
                      </w:rPr>
                      <m:t>8</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2A9A9551">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6C75FEBF">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bl>
    <w:p w14:paraId="76C68294">
      <w:pPr>
        <w:spacing w:before="312" w:beforeLines="100" w:after="312" w:afterLines="100"/>
        <w:ind w:left="-6" w:hanging="11"/>
        <w:rPr>
          <w:rFonts w:ascii="仿宋_GB2312" w:eastAsia="仿宋_GB2312"/>
          <w:b/>
          <w:sz w:val="30"/>
        </w:rPr>
      </w:pPr>
      <w:r>
        <w:rPr>
          <w:rFonts w:hint="eastAsia" w:ascii="仿宋_GB2312" w:eastAsia="仿宋_GB2312"/>
          <w:b/>
          <w:sz w:val="30"/>
        </w:rPr>
        <w:t>实际操作结束时间（根据现场钟表填写）：</w:t>
      </w:r>
    </w:p>
    <w:p w14:paraId="02F68E1A">
      <w:pPr>
        <w:adjustRightInd w:val="0"/>
        <w:snapToGrid w:val="0"/>
        <w:rPr>
          <w:sz w:val="30"/>
        </w:rPr>
      </w:pPr>
    </w:p>
    <w:p w14:paraId="368DD728">
      <w:pPr>
        <w:adjustRightInd w:val="0"/>
        <w:snapToGrid w:val="0"/>
        <w:rPr>
          <w:sz w:val="30"/>
        </w:rPr>
      </w:pPr>
    </w:p>
    <w:p w14:paraId="486E0E99">
      <w:pPr>
        <w:adjustRightInd w:val="0"/>
        <w:snapToGrid w:val="0"/>
        <w:rPr>
          <w:sz w:val="30"/>
        </w:rPr>
      </w:pPr>
    </w:p>
    <w:p w14:paraId="14B466F9">
      <w:pPr>
        <w:spacing w:after="188"/>
        <w:jc w:val="center"/>
        <w:rPr>
          <w:rFonts w:ascii="方正小标宋简体" w:eastAsia="方正小标宋简体"/>
        </w:rPr>
      </w:pPr>
      <w:r>
        <w:rPr>
          <w:rFonts w:hint="eastAsia" w:ascii="方正小标宋简体" w:eastAsia="方正小标宋简体"/>
          <w:sz w:val="36"/>
          <w:lang w:val="en-US" w:eastAsia="zh-CN"/>
        </w:rPr>
        <w:t>2025年河北省</w:t>
      </w:r>
      <w:r>
        <w:rPr>
          <w:rFonts w:hint="eastAsia" w:ascii="方正小标宋简体" w:eastAsia="方正小标宋简体"/>
          <w:sz w:val="36"/>
        </w:rPr>
        <w:t>职业院校技能大赛植物嫁接赛项</w:t>
      </w:r>
    </w:p>
    <w:p w14:paraId="0440F693">
      <w:pPr>
        <w:spacing w:after="188"/>
        <w:jc w:val="center"/>
        <w:rPr>
          <w:rFonts w:ascii="方正小标宋简体" w:eastAsia="方正小标宋简体"/>
          <w:sz w:val="36"/>
        </w:rPr>
      </w:pPr>
      <w:r>
        <w:rPr>
          <w:rFonts w:ascii="方正小标宋简体" w:eastAsia="方正小标宋简体"/>
          <w:sz w:val="36"/>
        </w:rPr>
        <w:t>营养液配制操作试题（</w:t>
      </w:r>
      <w:r>
        <w:rPr>
          <w:rFonts w:hint="eastAsia" w:ascii="方正小标宋简体" w:eastAsia="方正小标宋简体"/>
          <w:sz w:val="36"/>
        </w:rPr>
        <w:t>七</w:t>
      </w:r>
      <w:r>
        <w:rPr>
          <w:rFonts w:ascii="方正小标宋简体" w:eastAsia="方正小标宋简体"/>
          <w:sz w:val="36"/>
        </w:rPr>
        <w:t>）</w:t>
      </w:r>
    </w:p>
    <w:p w14:paraId="3A5A19C9">
      <w:pPr>
        <w:spacing w:after="188"/>
        <w:jc w:val="center"/>
        <w:rPr>
          <w:sz w:val="36"/>
        </w:rPr>
      </w:pPr>
      <w:r>
        <w:rPr>
          <w:sz w:val="36"/>
        </w:rPr>
        <w:t xml:space="preserve"> </w:t>
      </w:r>
    </w:p>
    <w:p w14:paraId="690634F4">
      <w:pPr>
        <w:spacing w:before="312" w:beforeLines="100" w:after="312" w:afterLines="100"/>
        <w:ind w:left="-6" w:hanging="11"/>
        <w:rPr>
          <w:rFonts w:ascii="仿宋_GB2312" w:eastAsia="仿宋_GB2312"/>
          <w:b/>
          <w:sz w:val="30"/>
        </w:rPr>
      </w:pPr>
      <w:r>
        <w:rPr>
          <w:rFonts w:ascii="仿宋_GB2312" w:eastAsia="仿宋_GB2312"/>
          <w:b/>
          <w:sz w:val="30"/>
        </w:rPr>
        <w:t>工位号：                    分数：</w:t>
      </w:r>
    </w:p>
    <w:p w14:paraId="5311A566">
      <w:pPr>
        <w:spacing w:before="312" w:beforeLines="100" w:after="312" w:afterLines="100"/>
        <w:ind w:left="-6" w:hanging="11"/>
        <w:rPr>
          <w:rFonts w:ascii="仿宋_GB2312" w:eastAsia="仿宋_GB2312"/>
          <w:b/>
          <w:sz w:val="30"/>
        </w:rPr>
      </w:pPr>
      <w:r>
        <w:rPr>
          <w:rFonts w:ascii="仿宋_GB2312" w:eastAsia="仿宋_GB2312"/>
          <w:b/>
          <w:sz w:val="30"/>
        </w:rPr>
        <w:t xml:space="preserve">一、母液配制 </w:t>
      </w:r>
    </w:p>
    <w:tbl>
      <w:tblPr>
        <w:tblStyle w:val="11"/>
        <w:tblW w:w="8558" w:type="dxa"/>
        <w:tblInd w:w="-122" w:type="dxa"/>
        <w:tblLayout w:type="autofit"/>
        <w:tblCellMar>
          <w:top w:w="0" w:type="dxa"/>
          <w:left w:w="113" w:type="dxa"/>
          <w:bottom w:w="8" w:type="dxa"/>
          <w:right w:w="55" w:type="dxa"/>
        </w:tblCellMar>
      </w:tblPr>
      <w:tblGrid>
        <w:gridCol w:w="900"/>
        <w:gridCol w:w="1841"/>
        <w:gridCol w:w="1702"/>
        <w:gridCol w:w="708"/>
        <w:gridCol w:w="994"/>
        <w:gridCol w:w="1133"/>
        <w:gridCol w:w="1280"/>
      </w:tblGrid>
      <w:tr w14:paraId="42719459">
        <w:tblPrEx>
          <w:tblCellMar>
            <w:top w:w="0" w:type="dxa"/>
            <w:left w:w="113" w:type="dxa"/>
            <w:bottom w:w="8" w:type="dxa"/>
            <w:right w:w="55" w:type="dxa"/>
          </w:tblCellMar>
        </w:tblPrEx>
        <w:trPr>
          <w:trHeight w:val="812"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548ABC9E">
            <w:pPr>
              <w:ind w:left="127"/>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42BCEE12">
            <w:pPr>
              <w:ind w:right="56"/>
              <w:jc w:val="center"/>
              <w:rPr>
                <w:rFonts w:ascii="仿宋_GB2312" w:eastAsia="仿宋_GB2312"/>
                <w:sz w:val="24"/>
                <w:szCs w:val="24"/>
              </w:rPr>
            </w:pPr>
            <w:r>
              <w:rPr>
                <w:rFonts w:hint="eastAsia" w:ascii="仿宋_GB2312" w:eastAsia="仿宋_GB2312"/>
                <w:sz w:val="24"/>
                <w:szCs w:val="24"/>
              </w:rPr>
              <w:t>成份</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36E89E1E">
            <w:pPr>
              <w:ind w:left="36"/>
              <w:jc w:val="center"/>
              <w:rPr>
                <w:rFonts w:ascii="仿宋_GB2312" w:eastAsia="仿宋_GB2312"/>
                <w:sz w:val="24"/>
                <w:szCs w:val="24"/>
              </w:rPr>
            </w:pPr>
            <w:r>
              <w:rPr>
                <w:rFonts w:hint="eastAsia" w:ascii="仿宋_GB2312" w:eastAsia="仿宋_GB2312"/>
                <w:sz w:val="24"/>
                <w:szCs w:val="24"/>
              </w:rPr>
              <w:t>标准用量</w:t>
            </w:r>
            <w:r>
              <w:rPr>
                <w:rFonts w:hint="eastAsia" w:ascii="仿宋_GB2312" w:hAnsi="Calibri" w:eastAsia="仿宋_GB2312" w:cs="Calibri"/>
                <w:sz w:val="24"/>
                <w:szCs w:val="24"/>
              </w:rPr>
              <w:t>(mg/L)</w:t>
            </w:r>
          </w:p>
        </w:tc>
        <w:tc>
          <w:tcPr>
            <w:tcW w:w="708" w:type="dxa"/>
            <w:tcBorders>
              <w:top w:val="single" w:color="000000" w:sz="4" w:space="0"/>
              <w:left w:val="single" w:color="000000" w:sz="4" w:space="0"/>
              <w:bottom w:val="single" w:color="000000" w:sz="4" w:space="0"/>
              <w:right w:val="single" w:color="000000" w:sz="4" w:space="0"/>
            </w:tcBorders>
            <w:vAlign w:val="center"/>
          </w:tcPr>
          <w:p w14:paraId="4990B791">
            <w:pPr>
              <w:jc w:val="center"/>
              <w:rPr>
                <w:rFonts w:ascii="仿宋_GB2312" w:eastAsia="仿宋_GB2312"/>
                <w:sz w:val="24"/>
                <w:szCs w:val="24"/>
              </w:rPr>
            </w:pPr>
            <w:r>
              <w:rPr>
                <w:rFonts w:hint="eastAsia" w:ascii="仿宋_GB2312" w:eastAsia="仿宋_GB2312"/>
                <w:sz w:val="24"/>
                <w:szCs w:val="24"/>
              </w:rPr>
              <w:t>浓缩倍数</w:t>
            </w:r>
            <w:r>
              <w:rPr>
                <w:rFonts w:hint="eastAsia" w:ascii="仿宋_GB2312" w:hAnsi="Calibri" w:eastAsia="仿宋_GB2312" w:cs="Calibri"/>
                <w:sz w:val="24"/>
                <w:szCs w:val="24"/>
              </w:rPr>
              <w:t xml:space="preserve"> </w:t>
            </w:r>
          </w:p>
        </w:tc>
        <w:tc>
          <w:tcPr>
            <w:tcW w:w="994" w:type="dxa"/>
            <w:tcBorders>
              <w:top w:val="single" w:color="000000" w:sz="4" w:space="0"/>
              <w:left w:val="single" w:color="000000" w:sz="4" w:space="0"/>
              <w:bottom w:val="single" w:color="000000" w:sz="4" w:space="0"/>
              <w:right w:val="single" w:color="000000" w:sz="4" w:space="0"/>
            </w:tcBorders>
          </w:tcPr>
          <w:p w14:paraId="24B75D8D">
            <w:pPr>
              <w:spacing w:line="255" w:lineRule="auto"/>
              <w:jc w:val="center"/>
              <w:rPr>
                <w:rFonts w:ascii="仿宋_GB2312" w:eastAsia="仿宋_GB2312"/>
                <w:sz w:val="24"/>
                <w:szCs w:val="24"/>
              </w:rPr>
            </w:pPr>
            <w:r>
              <w:rPr>
                <w:rFonts w:hint="eastAsia" w:ascii="仿宋_GB2312" w:eastAsia="仿宋_GB2312"/>
                <w:sz w:val="24"/>
                <w:szCs w:val="24"/>
              </w:rPr>
              <w:t>配制母液体积</w:t>
            </w:r>
          </w:p>
          <w:p w14:paraId="7AC77DC7">
            <w:pPr>
              <w:ind w:right="58"/>
              <w:jc w:val="center"/>
              <w:rPr>
                <w:rFonts w:ascii="仿宋_GB2312" w:eastAsia="仿宋_GB2312"/>
                <w:sz w:val="24"/>
                <w:szCs w:val="24"/>
              </w:rPr>
            </w:pPr>
            <w:r>
              <w:rPr>
                <w:rFonts w:hint="eastAsia" w:ascii="仿宋_GB2312" w:hAnsi="Calibri" w:eastAsia="仿宋_GB2312" w:cs="Calibri"/>
                <w:sz w:val="24"/>
                <w:szCs w:val="24"/>
              </w:rPr>
              <w:t xml:space="preserve">(ml) </w:t>
            </w:r>
          </w:p>
        </w:tc>
        <w:tc>
          <w:tcPr>
            <w:tcW w:w="1133" w:type="dxa"/>
            <w:tcBorders>
              <w:top w:val="single" w:color="000000" w:sz="4" w:space="0"/>
              <w:left w:val="single" w:color="000000" w:sz="4" w:space="0"/>
              <w:bottom w:val="single" w:color="000000" w:sz="4" w:space="0"/>
              <w:right w:val="single" w:color="000000" w:sz="4" w:space="0"/>
            </w:tcBorders>
            <w:vAlign w:val="center"/>
          </w:tcPr>
          <w:p w14:paraId="16188559">
            <w:pPr>
              <w:jc w:val="center"/>
              <w:rPr>
                <w:rFonts w:ascii="仿宋_GB2312" w:eastAsia="仿宋_GB2312"/>
                <w:sz w:val="24"/>
                <w:szCs w:val="24"/>
              </w:rPr>
            </w:pPr>
            <w:r>
              <w:rPr>
                <w:rFonts w:hint="eastAsia" w:ascii="仿宋_GB2312" w:eastAsia="仿宋_GB2312"/>
                <w:sz w:val="24"/>
                <w:szCs w:val="24"/>
              </w:rPr>
              <w:t>理论计算值</w:t>
            </w:r>
            <w:r>
              <w:rPr>
                <w:rFonts w:hint="eastAsia" w:ascii="仿宋_GB2312" w:hAnsi="Calibri" w:eastAsia="仿宋_GB2312" w:cs="Calibri"/>
                <w:sz w:val="24"/>
                <w:szCs w:val="24"/>
              </w:rPr>
              <w:t xml:space="preserve">(g) </w:t>
            </w:r>
          </w:p>
        </w:tc>
        <w:tc>
          <w:tcPr>
            <w:tcW w:w="1280" w:type="dxa"/>
            <w:tcBorders>
              <w:top w:val="single" w:color="000000" w:sz="4" w:space="0"/>
              <w:left w:val="single" w:color="000000" w:sz="4" w:space="0"/>
              <w:bottom w:val="single" w:color="000000" w:sz="4" w:space="0"/>
              <w:right w:val="single" w:color="000000" w:sz="4" w:space="0"/>
            </w:tcBorders>
            <w:vAlign w:val="center"/>
          </w:tcPr>
          <w:p w14:paraId="7B96483F">
            <w:pPr>
              <w:rPr>
                <w:rFonts w:ascii="仿宋_GB2312" w:eastAsia="仿宋_GB2312"/>
                <w:sz w:val="24"/>
                <w:szCs w:val="24"/>
              </w:rPr>
            </w:pPr>
            <w:r>
              <w:rPr>
                <w:rFonts w:hint="eastAsia" w:ascii="仿宋_GB2312" w:eastAsia="仿宋_GB2312"/>
                <w:sz w:val="24"/>
                <w:szCs w:val="24"/>
              </w:rPr>
              <w:t>实际称取值</w:t>
            </w:r>
            <w:r>
              <w:rPr>
                <w:rFonts w:hint="eastAsia" w:ascii="仿宋_GB2312" w:hAnsi="Calibri" w:eastAsia="仿宋_GB2312" w:cs="Calibri"/>
                <w:sz w:val="24"/>
                <w:szCs w:val="24"/>
              </w:rPr>
              <w:t xml:space="preserve">(g) </w:t>
            </w:r>
          </w:p>
        </w:tc>
      </w:tr>
      <w:tr w14:paraId="3CCCB79E">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67EDC4F5">
            <w:pPr>
              <w:ind w:right="58"/>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74D74A55">
            <w:pPr>
              <w:ind w:right="55"/>
              <w:jc w:val="center"/>
              <w:rPr>
                <w:rFonts w:ascii="仿宋_GB2312" w:eastAsia="仿宋_GB2312"/>
                <w:sz w:val="24"/>
                <w:szCs w:val="24"/>
              </w:rPr>
            </w:pPr>
            <w:r>
              <w:rPr>
                <w:rFonts w:hint="eastAsia" w:ascii="仿宋_GB2312" w:hAnsi="Calibri" w:eastAsia="仿宋_GB2312" w:cs="Calibri"/>
                <w:sz w:val="24"/>
                <w:szCs w:val="24"/>
              </w:rPr>
              <w:t>Ca(NO</w:t>
            </w:r>
            <w:r>
              <w:rPr>
                <w:rFonts w:hint="eastAsia" w:ascii="仿宋_GB2312" w:hAnsi="Calibri" w:eastAsia="仿宋_GB2312" w:cs="Calibri"/>
                <w:sz w:val="24"/>
                <w:szCs w:val="24"/>
                <w:vertAlign w:val="subscript"/>
              </w:rPr>
              <w:t>3</w:t>
            </w:r>
            <w:r>
              <w:rPr>
                <w:rFonts w:hint="eastAsia" w:ascii="仿宋_GB2312" w:hAnsi="Calibri" w:eastAsia="仿宋_GB2312" w:cs="Calibri"/>
                <w:sz w:val="24"/>
                <w:szCs w:val="24"/>
              </w:rPr>
              <w:t>)</w:t>
            </w:r>
            <w:r>
              <w:rPr>
                <w:rFonts w:hint="eastAsia" w:ascii="仿宋_GB2312" w:hAnsi="Calibri" w:eastAsia="仿宋_GB2312" w:cs="Calibri"/>
                <w:sz w:val="24"/>
                <w:szCs w:val="24"/>
                <w:vertAlign w:val="subscript"/>
              </w:rPr>
              <w:t>2</w:t>
            </w:r>
            <w:r>
              <w:rPr>
                <w:rFonts w:hint="eastAsia"/>
                <w:sz w:val="24"/>
                <w:szCs w:val="24"/>
              </w:rPr>
              <w:t>﹒</w:t>
            </w:r>
            <w:r>
              <w:rPr>
                <w:rFonts w:hint="eastAsia" w:ascii="仿宋_GB2312" w:hAnsi="Calibri" w:eastAsia="仿宋_GB2312" w:cs="Calibri"/>
                <w:sz w:val="24"/>
                <w:szCs w:val="24"/>
              </w:rPr>
              <w:t>4H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000000" w:sz="4" w:space="0"/>
              <w:left w:val="single" w:color="000000" w:sz="4" w:space="0"/>
              <w:bottom w:val="single" w:color="000000" w:sz="4" w:space="0"/>
              <w:right w:val="single" w:color="000000" w:sz="4" w:space="0"/>
            </w:tcBorders>
            <w:vAlign w:val="center"/>
          </w:tcPr>
          <w:p w14:paraId="441DC6D1">
            <w:pPr>
              <w:ind w:right="56"/>
              <w:jc w:val="center"/>
              <w:rPr>
                <w:rFonts w:ascii="仿宋_GB2312" w:eastAsia="仿宋_GB2312"/>
                <w:sz w:val="24"/>
                <w:szCs w:val="24"/>
              </w:rPr>
            </w:pPr>
            <w:r>
              <w:rPr>
                <w:rFonts w:hint="eastAsia" w:ascii="仿宋_GB2312" w:hAnsi="Calibri" w:eastAsia="仿宋_GB2312" w:cs="Calibri"/>
                <w:sz w:val="24"/>
                <w:szCs w:val="24"/>
              </w:rPr>
              <w:t xml:space="preserve">945 </w:t>
            </w:r>
          </w:p>
        </w:tc>
        <w:tc>
          <w:tcPr>
            <w:tcW w:w="708" w:type="dxa"/>
            <w:tcBorders>
              <w:top w:val="single" w:color="000000" w:sz="4" w:space="0"/>
              <w:left w:val="single" w:color="000000" w:sz="4" w:space="0"/>
              <w:bottom w:val="single" w:color="000000" w:sz="4" w:space="0"/>
              <w:right w:val="single" w:color="000000" w:sz="4" w:space="0"/>
            </w:tcBorders>
            <w:vAlign w:val="center"/>
          </w:tcPr>
          <w:p w14:paraId="3FB4A394">
            <w:pPr>
              <w:ind w:left="120"/>
              <w:rPr>
                <w:rFonts w:ascii="仿宋_GB2312" w:eastAsia="仿宋_GB2312"/>
                <w:sz w:val="24"/>
                <w:szCs w:val="24"/>
              </w:rPr>
            </w:pPr>
            <w:r>
              <w:rPr>
                <w:rFonts w:hint="eastAsia" w:ascii="仿宋_GB2312" w:hAnsi="Calibri" w:eastAsia="仿宋_GB2312" w:cs="Calibri"/>
                <w:sz w:val="24"/>
                <w:szCs w:val="24"/>
              </w:rPr>
              <w:t xml:space="preserve">55 </w:t>
            </w:r>
          </w:p>
        </w:tc>
        <w:tc>
          <w:tcPr>
            <w:tcW w:w="994" w:type="dxa"/>
            <w:tcBorders>
              <w:top w:val="single" w:color="000000" w:sz="4" w:space="0"/>
              <w:left w:val="single" w:color="000000" w:sz="4" w:space="0"/>
              <w:bottom w:val="single" w:color="000000" w:sz="4" w:space="0"/>
              <w:right w:val="single" w:color="000000" w:sz="4" w:space="0"/>
            </w:tcBorders>
            <w:vAlign w:val="center"/>
          </w:tcPr>
          <w:p w14:paraId="6117D7DB">
            <w:pPr>
              <w:ind w:right="62"/>
              <w:jc w:val="center"/>
              <w:rPr>
                <w:rFonts w:ascii="仿宋_GB2312" w:eastAsia="仿宋_GB2312"/>
                <w:sz w:val="24"/>
                <w:szCs w:val="24"/>
              </w:rPr>
            </w:pPr>
            <w:r>
              <w:rPr>
                <w:rFonts w:hint="eastAsia" w:ascii="仿宋_GB2312" w:hAnsi="Calibri" w:eastAsia="仿宋_GB2312" w:cs="Calibri"/>
                <w:sz w:val="24"/>
                <w:szCs w:val="24"/>
              </w:rPr>
              <w:t xml:space="preserve">250 </w:t>
            </w:r>
          </w:p>
        </w:tc>
        <w:tc>
          <w:tcPr>
            <w:tcW w:w="1133" w:type="dxa"/>
            <w:tcBorders>
              <w:top w:val="single" w:color="000000" w:sz="4" w:space="0"/>
              <w:left w:val="single" w:color="000000" w:sz="4" w:space="0"/>
              <w:bottom w:val="single" w:color="000000" w:sz="4" w:space="0"/>
              <w:right w:val="single" w:color="000000" w:sz="4" w:space="0"/>
            </w:tcBorders>
            <w:vAlign w:val="center"/>
          </w:tcPr>
          <w:p w14:paraId="71B2ED6F">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08DB486D">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02FAFEF5">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3529A886">
            <w:pPr>
              <w:ind w:right="55"/>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40919933">
            <w:pPr>
              <w:ind w:right="57"/>
              <w:jc w:val="center"/>
              <w:rPr>
                <w:rFonts w:ascii="仿宋_GB2312" w:eastAsia="仿宋_GB2312"/>
                <w:sz w:val="24"/>
                <w:szCs w:val="24"/>
              </w:rPr>
            </w:pPr>
            <w:r>
              <w:rPr>
                <w:rFonts w:hint="eastAsia" w:ascii="仿宋_GB2312" w:hAnsi="Calibri" w:eastAsia="仿宋_GB2312" w:cs="Calibri"/>
                <w:sz w:val="24"/>
                <w:szCs w:val="24"/>
              </w:rPr>
              <w:t>NH</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PO</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21A68FD2">
            <w:pPr>
              <w:ind w:right="56"/>
              <w:jc w:val="center"/>
              <w:rPr>
                <w:rFonts w:ascii="仿宋_GB2312" w:eastAsia="仿宋_GB2312"/>
                <w:sz w:val="24"/>
                <w:szCs w:val="24"/>
              </w:rPr>
            </w:pPr>
            <w:r>
              <w:rPr>
                <w:rFonts w:hint="eastAsia" w:ascii="仿宋_GB2312" w:hAnsi="Calibri" w:eastAsia="仿宋_GB2312" w:cs="Calibri"/>
                <w:sz w:val="24"/>
                <w:szCs w:val="24"/>
              </w:rPr>
              <w:t xml:space="preserve">153 </w:t>
            </w:r>
          </w:p>
        </w:tc>
        <w:tc>
          <w:tcPr>
            <w:tcW w:w="708" w:type="dxa"/>
            <w:tcBorders>
              <w:top w:val="single" w:color="000000" w:sz="4" w:space="0"/>
              <w:left w:val="single" w:color="000000" w:sz="4" w:space="0"/>
              <w:bottom w:val="single" w:color="000000" w:sz="4" w:space="0"/>
              <w:right w:val="single" w:color="000000" w:sz="4" w:space="0"/>
            </w:tcBorders>
            <w:vAlign w:val="center"/>
          </w:tcPr>
          <w:p w14:paraId="5CE19AA2">
            <w:pPr>
              <w:ind w:left="60"/>
              <w:rPr>
                <w:rFonts w:ascii="仿宋_GB2312" w:eastAsia="仿宋_GB2312"/>
                <w:sz w:val="24"/>
                <w:szCs w:val="24"/>
              </w:rPr>
            </w:pPr>
            <w:r>
              <w:rPr>
                <w:rFonts w:hint="eastAsia" w:ascii="仿宋_GB2312" w:hAnsi="Calibri" w:eastAsia="仿宋_GB2312" w:cs="Calibri"/>
                <w:sz w:val="24"/>
                <w:szCs w:val="24"/>
              </w:rPr>
              <w:t xml:space="preserve">60 </w:t>
            </w:r>
          </w:p>
        </w:tc>
        <w:tc>
          <w:tcPr>
            <w:tcW w:w="994" w:type="dxa"/>
            <w:tcBorders>
              <w:top w:val="single" w:color="000000" w:sz="4" w:space="0"/>
              <w:left w:val="single" w:color="000000" w:sz="4" w:space="0"/>
              <w:bottom w:val="single" w:color="000000" w:sz="4" w:space="0"/>
              <w:right w:val="single" w:color="000000" w:sz="4" w:space="0"/>
            </w:tcBorders>
            <w:vAlign w:val="center"/>
          </w:tcPr>
          <w:p w14:paraId="1A756960">
            <w:pPr>
              <w:ind w:right="62"/>
              <w:jc w:val="center"/>
              <w:rPr>
                <w:rFonts w:ascii="仿宋_GB2312" w:eastAsia="仿宋_GB2312"/>
                <w:sz w:val="24"/>
                <w:szCs w:val="24"/>
              </w:rPr>
            </w:pPr>
            <w:r>
              <w:rPr>
                <w:rFonts w:hint="eastAsia" w:ascii="仿宋_GB2312" w:hAnsi="Calibri" w:eastAsia="仿宋_GB2312" w:cs="Calibri"/>
                <w:sz w:val="24"/>
                <w:szCs w:val="24"/>
              </w:rPr>
              <w:t>500</w:t>
            </w:r>
          </w:p>
        </w:tc>
        <w:tc>
          <w:tcPr>
            <w:tcW w:w="1133" w:type="dxa"/>
            <w:tcBorders>
              <w:top w:val="single" w:color="000000" w:sz="4" w:space="0"/>
              <w:left w:val="single" w:color="000000" w:sz="4" w:space="0"/>
              <w:bottom w:val="single" w:color="000000" w:sz="4" w:space="0"/>
              <w:right w:val="single" w:color="000000" w:sz="4" w:space="0"/>
            </w:tcBorders>
            <w:vAlign w:val="center"/>
          </w:tcPr>
          <w:p w14:paraId="154313ED">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28A1910C">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64F43E24">
        <w:tblPrEx>
          <w:tblCellMar>
            <w:top w:w="0" w:type="dxa"/>
            <w:left w:w="113" w:type="dxa"/>
            <w:bottom w:w="8" w:type="dxa"/>
            <w:right w:w="55" w:type="dxa"/>
          </w:tblCellMar>
        </w:tblPrEx>
        <w:trPr>
          <w:trHeight w:val="466" w:hRule="atLeast"/>
        </w:trPr>
        <w:tc>
          <w:tcPr>
            <w:tcW w:w="900" w:type="dxa"/>
            <w:vMerge w:val="restart"/>
            <w:tcBorders>
              <w:top w:val="single" w:color="000000" w:sz="4" w:space="0"/>
              <w:left w:val="single" w:color="000000" w:sz="4" w:space="0"/>
              <w:bottom w:val="nil"/>
              <w:right w:val="single" w:color="000000" w:sz="4" w:space="0"/>
            </w:tcBorders>
            <w:vAlign w:val="center"/>
          </w:tcPr>
          <w:p w14:paraId="452B1098">
            <w:pPr>
              <w:ind w:right="58"/>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p>
        </w:tc>
        <w:tc>
          <w:tcPr>
            <w:tcW w:w="1841" w:type="dxa"/>
            <w:tcBorders>
              <w:top w:val="single" w:color="000000" w:sz="4" w:space="0"/>
              <w:left w:val="single" w:color="000000" w:sz="4" w:space="0"/>
              <w:bottom w:val="single" w:color="000000" w:sz="4" w:space="0"/>
              <w:right w:val="single" w:color="000000" w:sz="4" w:space="0"/>
            </w:tcBorders>
            <w:vAlign w:val="center"/>
          </w:tcPr>
          <w:p w14:paraId="1A9BE27D">
            <w:pPr>
              <w:ind w:right="55"/>
              <w:jc w:val="center"/>
              <w:rPr>
                <w:rFonts w:ascii="仿宋_GB2312" w:eastAsia="仿宋_GB2312"/>
                <w:sz w:val="24"/>
                <w:szCs w:val="24"/>
              </w:rPr>
            </w:pPr>
            <w:r>
              <w:rPr>
                <w:rFonts w:hint="eastAsia" w:ascii="仿宋_GB2312" w:hAnsi="Calibri" w:eastAsia="仿宋_GB2312" w:cs="Calibri"/>
                <w:sz w:val="24"/>
                <w:szCs w:val="24"/>
              </w:rPr>
              <w:t>FeSO</w:t>
            </w:r>
            <w:r>
              <w:rPr>
                <w:rFonts w:hint="eastAsia" w:ascii="仿宋_GB2312" w:hAnsi="Calibri" w:eastAsia="仿宋_GB2312" w:cs="Calibri"/>
                <w:sz w:val="24"/>
                <w:szCs w:val="24"/>
                <w:vertAlign w:val="subscript"/>
              </w:rPr>
              <w:t>4</w:t>
            </w:r>
            <w:r>
              <w:rPr>
                <w:rFonts w:hint="eastAsia"/>
                <w:sz w:val="24"/>
                <w:szCs w:val="24"/>
              </w:rPr>
              <w:t>﹒</w:t>
            </w:r>
            <w:r>
              <w:rPr>
                <w:rFonts w:hint="eastAsia" w:ascii="仿宋_GB2312" w:hAnsi="Calibri" w:eastAsia="仿宋_GB2312" w:cs="Calibri"/>
                <w:sz w:val="24"/>
                <w:szCs w:val="24"/>
              </w:rPr>
              <w:t>7H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O</w:t>
            </w:r>
          </w:p>
        </w:tc>
        <w:tc>
          <w:tcPr>
            <w:tcW w:w="1702" w:type="dxa"/>
            <w:tcBorders>
              <w:top w:val="single" w:color="000000" w:sz="4" w:space="0"/>
              <w:left w:val="single" w:color="000000" w:sz="4" w:space="0"/>
              <w:bottom w:val="single" w:color="000000" w:sz="4" w:space="0"/>
              <w:right w:val="single" w:color="000000" w:sz="4" w:space="0"/>
            </w:tcBorders>
            <w:vAlign w:val="center"/>
          </w:tcPr>
          <w:p w14:paraId="0B0BB028">
            <w:pPr>
              <w:ind w:right="57"/>
              <w:jc w:val="center"/>
              <w:rPr>
                <w:rFonts w:ascii="仿宋_GB2312" w:eastAsia="仿宋_GB2312"/>
                <w:sz w:val="24"/>
                <w:szCs w:val="24"/>
              </w:rPr>
            </w:pPr>
            <w:r>
              <w:rPr>
                <w:rFonts w:hint="eastAsia" w:ascii="仿宋_GB2312" w:hAnsi="Calibri" w:eastAsia="仿宋_GB2312" w:cs="Calibri"/>
                <w:sz w:val="24"/>
                <w:szCs w:val="24"/>
              </w:rPr>
              <w:t>13.9</w:t>
            </w:r>
          </w:p>
        </w:tc>
        <w:tc>
          <w:tcPr>
            <w:tcW w:w="708" w:type="dxa"/>
            <w:vMerge w:val="restart"/>
            <w:tcBorders>
              <w:top w:val="single" w:color="000000" w:sz="4" w:space="0"/>
              <w:left w:val="single" w:color="000000" w:sz="4" w:space="0"/>
              <w:bottom w:val="nil"/>
              <w:right w:val="single" w:color="000000" w:sz="4" w:space="0"/>
            </w:tcBorders>
            <w:vAlign w:val="center"/>
          </w:tcPr>
          <w:p w14:paraId="444107E6">
            <w:pPr>
              <w:ind w:left="60"/>
              <w:jc w:val="center"/>
              <w:rPr>
                <w:rFonts w:ascii="仿宋_GB2312" w:eastAsia="仿宋_GB2312"/>
                <w:sz w:val="24"/>
                <w:szCs w:val="24"/>
              </w:rPr>
            </w:pPr>
            <w:r>
              <w:rPr>
                <w:rFonts w:hint="eastAsia" w:ascii="仿宋_GB2312" w:hAnsi="Calibri" w:eastAsia="仿宋_GB2312" w:cs="Calibri"/>
                <w:sz w:val="24"/>
                <w:szCs w:val="24"/>
              </w:rPr>
              <w:t>140</w:t>
            </w:r>
          </w:p>
        </w:tc>
        <w:tc>
          <w:tcPr>
            <w:tcW w:w="994" w:type="dxa"/>
            <w:vMerge w:val="restart"/>
            <w:tcBorders>
              <w:top w:val="single" w:color="000000" w:sz="4" w:space="0"/>
              <w:left w:val="single" w:color="000000" w:sz="4" w:space="0"/>
              <w:bottom w:val="nil"/>
              <w:right w:val="single" w:color="000000" w:sz="4" w:space="0"/>
            </w:tcBorders>
            <w:vAlign w:val="center"/>
          </w:tcPr>
          <w:p w14:paraId="57BB61BB">
            <w:pPr>
              <w:ind w:right="62"/>
              <w:jc w:val="center"/>
              <w:rPr>
                <w:rFonts w:ascii="仿宋_GB2312" w:eastAsia="仿宋_GB2312"/>
                <w:sz w:val="24"/>
                <w:szCs w:val="24"/>
              </w:rPr>
            </w:pPr>
            <w:r>
              <w:rPr>
                <w:rFonts w:hint="eastAsia" w:ascii="仿宋_GB2312" w:hAnsi="Calibri" w:eastAsia="仿宋_GB2312" w:cs="Calibri"/>
                <w:sz w:val="24"/>
                <w:szCs w:val="24"/>
              </w:rPr>
              <w:t>100</w:t>
            </w:r>
          </w:p>
        </w:tc>
        <w:tc>
          <w:tcPr>
            <w:tcW w:w="1133" w:type="dxa"/>
            <w:tcBorders>
              <w:top w:val="single" w:color="000000" w:sz="4" w:space="0"/>
              <w:left w:val="single" w:color="000000" w:sz="4" w:space="0"/>
              <w:bottom w:val="single" w:color="000000" w:sz="4" w:space="0"/>
              <w:right w:val="single" w:color="000000" w:sz="4" w:space="0"/>
            </w:tcBorders>
            <w:vAlign w:val="center"/>
          </w:tcPr>
          <w:p w14:paraId="037276E7">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5BFD0291">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30083265">
        <w:tblPrEx>
          <w:tblCellMar>
            <w:top w:w="0" w:type="dxa"/>
            <w:left w:w="113" w:type="dxa"/>
            <w:bottom w:w="8" w:type="dxa"/>
            <w:right w:w="55" w:type="dxa"/>
          </w:tblCellMar>
        </w:tblPrEx>
        <w:trPr>
          <w:trHeight w:val="163" w:hRule="atLeast"/>
        </w:trPr>
        <w:tc>
          <w:tcPr>
            <w:tcW w:w="0" w:type="auto"/>
            <w:vMerge w:val="continue"/>
            <w:tcBorders>
              <w:top w:val="nil"/>
              <w:left w:val="single" w:color="000000" w:sz="4" w:space="0"/>
              <w:bottom w:val="single" w:color="auto" w:sz="4" w:space="0"/>
              <w:right w:val="single" w:color="000000" w:sz="4" w:space="0"/>
            </w:tcBorders>
            <w:vAlign w:val="center"/>
          </w:tcPr>
          <w:p w14:paraId="76D2ABB2">
            <w:pPr>
              <w:spacing w:after="160"/>
              <w:jc w:val="center"/>
              <w:rPr>
                <w:rFonts w:ascii="仿宋_GB2312" w:eastAsia="仿宋_GB2312"/>
                <w:sz w:val="24"/>
                <w:szCs w:val="24"/>
              </w:rPr>
            </w:pPr>
          </w:p>
        </w:tc>
        <w:tc>
          <w:tcPr>
            <w:tcW w:w="1841" w:type="dxa"/>
            <w:tcBorders>
              <w:top w:val="single" w:color="000000" w:sz="4" w:space="0"/>
              <w:left w:val="single" w:color="000000" w:sz="4" w:space="0"/>
              <w:bottom w:val="single" w:color="auto" w:sz="4" w:space="0"/>
              <w:right w:val="single" w:color="000000" w:sz="4" w:space="0"/>
            </w:tcBorders>
            <w:vAlign w:val="center"/>
          </w:tcPr>
          <w:p w14:paraId="5C186AA0">
            <w:pPr>
              <w:ind w:right="56"/>
              <w:jc w:val="center"/>
              <w:rPr>
                <w:rFonts w:ascii="仿宋_GB2312" w:eastAsia="仿宋_GB2312"/>
                <w:sz w:val="24"/>
                <w:szCs w:val="24"/>
              </w:rPr>
            </w:pPr>
            <w:r>
              <w:rPr>
                <w:rFonts w:hint="eastAsia" w:ascii="仿宋_GB2312" w:hAnsi="Calibri" w:eastAsia="仿宋_GB2312" w:cs="Calibri"/>
                <w:sz w:val="24"/>
                <w:szCs w:val="24"/>
              </w:rPr>
              <w:t>Na</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-EDTA</w:t>
            </w:r>
          </w:p>
        </w:tc>
        <w:tc>
          <w:tcPr>
            <w:tcW w:w="1702" w:type="dxa"/>
            <w:tcBorders>
              <w:top w:val="single" w:color="000000" w:sz="4" w:space="0"/>
              <w:left w:val="single" w:color="000000" w:sz="4" w:space="0"/>
              <w:bottom w:val="single" w:color="auto" w:sz="4" w:space="0"/>
              <w:right w:val="single" w:color="000000" w:sz="4" w:space="0"/>
            </w:tcBorders>
            <w:vAlign w:val="center"/>
          </w:tcPr>
          <w:p w14:paraId="7F25C6AA">
            <w:pPr>
              <w:ind w:right="57"/>
              <w:jc w:val="center"/>
              <w:rPr>
                <w:rFonts w:ascii="仿宋_GB2312" w:eastAsia="仿宋_GB2312"/>
                <w:sz w:val="24"/>
                <w:szCs w:val="24"/>
              </w:rPr>
            </w:pPr>
            <w:r>
              <w:rPr>
                <w:rFonts w:hint="eastAsia" w:ascii="仿宋_GB2312" w:hAnsi="Calibri" w:eastAsia="仿宋_GB2312" w:cs="Calibri"/>
                <w:sz w:val="24"/>
                <w:szCs w:val="24"/>
              </w:rPr>
              <w:t>18.6</w:t>
            </w:r>
          </w:p>
        </w:tc>
        <w:tc>
          <w:tcPr>
            <w:tcW w:w="0" w:type="auto"/>
            <w:vMerge w:val="continue"/>
            <w:tcBorders>
              <w:top w:val="nil"/>
              <w:left w:val="single" w:color="000000" w:sz="4" w:space="0"/>
              <w:bottom w:val="single" w:color="auto" w:sz="4" w:space="0"/>
              <w:right w:val="single" w:color="000000" w:sz="4" w:space="0"/>
            </w:tcBorders>
            <w:vAlign w:val="center"/>
          </w:tcPr>
          <w:p w14:paraId="0ADB6198">
            <w:pPr>
              <w:spacing w:after="160"/>
              <w:jc w:val="center"/>
              <w:rPr>
                <w:rFonts w:ascii="仿宋_GB2312" w:eastAsia="仿宋_GB2312"/>
                <w:sz w:val="24"/>
                <w:szCs w:val="24"/>
              </w:rPr>
            </w:pPr>
          </w:p>
        </w:tc>
        <w:tc>
          <w:tcPr>
            <w:tcW w:w="0" w:type="auto"/>
            <w:vMerge w:val="continue"/>
            <w:tcBorders>
              <w:top w:val="nil"/>
              <w:left w:val="single" w:color="000000" w:sz="4" w:space="0"/>
              <w:bottom w:val="single" w:color="auto" w:sz="4" w:space="0"/>
              <w:right w:val="single" w:color="000000" w:sz="4" w:space="0"/>
            </w:tcBorders>
            <w:vAlign w:val="center"/>
          </w:tcPr>
          <w:p w14:paraId="22A67889">
            <w:pPr>
              <w:spacing w:after="160"/>
              <w:jc w:val="center"/>
              <w:rPr>
                <w:rFonts w:ascii="仿宋_GB2312" w:eastAsia="仿宋_GB2312"/>
                <w:sz w:val="24"/>
                <w:szCs w:val="24"/>
              </w:rPr>
            </w:pPr>
          </w:p>
        </w:tc>
        <w:tc>
          <w:tcPr>
            <w:tcW w:w="1133" w:type="dxa"/>
            <w:tcBorders>
              <w:top w:val="single" w:color="000000" w:sz="4" w:space="0"/>
              <w:left w:val="single" w:color="000000" w:sz="4" w:space="0"/>
              <w:bottom w:val="single" w:color="auto" w:sz="4" w:space="0"/>
              <w:right w:val="single" w:color="000000" w:sz="4" w:space="0"/>
            </w:tcBorders>
          </w:tcPr>
          <w:p w14:paraId="32B1ECDC">
            <w:pPr>
              <w:spacing w:after="160"/>
              <w:rPr>
                <w:rFonts w:ascii="仿宋_GB2312" w:eastAsia="仿宋_GB2312"/>
                <w:sz w:val="24"/>
                <w:szCs w:val="24"/>
              </w:rPr>
            </w:pPr>
          </w:p>
        </w:tc>
        <w:tc>
          <w:tcPr>
            <w:tcW w:w="1280" w:type="dxa"/>
            <w:tcBorders>
              <w:top w:val="single" w:color="000000" w:sz="4" w:space="0"/>
              <w:left w:val="single" w:color="000000" w:sz="4" w:space="0"/>
              <w:bottom w:val="single" w:color="auto" w:sz="4" w:space="0"/>
              <w:right w:val="single" w:color="000000" w:sz="4" w:space="0"/>
            </w:tcBorders>
          </w:tcPr>
          <w:p w14:paraId="202EECFB">
            <w:pPr>
              <w:spacing w:after="160"/>
              <w:rPr>
                <w:rFonts w:ascii="仿宋_GB2312" w:eastAsia="仿宋_GB2312"/>
                <w:sz w:val="24"/>
                <w:szCs w:val="24"/>
              </w:rPr>
            </w:pPr>
          </w:p>
        </w:tc>
      </w:tr>
    </w:tbl>
    <w:p w14:paraId="7358D822">
      <w:pPr>
        <w:spacing w:before="312" w:beforeLines="100" w:after="312" w:afterLines="100"/>
        <w:ind w:left="-6" w:hanging="11"/>
        <w:rPr>
          <w:rFonts w:ascii="仿宋_GB2312" w:eastAsia="仿宋_GB2312"/>
          <w:b/>
          <w:sz w:val="30"/>
        </w:rPr>
      </w:pPr>
      <w:r>
        <w:rPr>
          <w:rFonts w:ascii="仿宋_GB2312" w:eastAsia="仿宋_GB2312"/>
          <w:b/>
          <w:sz w:val="30"/>
        </w:rPr>
        <w:t xml:space="preserve">二、工作液配制 </w:t>
      </w:r>
    </w:p>
    <w:tbl>
      <w:tblPr>
        <w:tblStyle w:val="11"/>
        <w:tblW w:w="8529" w:type="dxa"/>
        <w:tblInd w:w="-108" w:type="dxa"/>
        <w:tblLayout w:type="autofit"/>
        <w:tblCellMar>
          <w:top w:w="36" w:type="dxa"/>
          <w:left w:w="108" w:type="dxa"/>
          <w:bottom w:w="0" w:type="dxa"/>
          <w:right w:w="17" w:type="dxa"/>
        </w:tblCellMar>
      </w:tblPr>
      <w:tblGrid>
        <w:gridCol w:w="1682"/>
        <w:gridCol w:w="2235"/>
        <w:gridCol w:w="1724"/>
        <w:gridCol w:w="1549"/>
        <w:gridCol w:w="1339"/>
      </w:tblGrid>
      <w:tr w14:paraId="659743E1">
        <w:tblPrEx>
          <w:tblCellMar>
            <w:top w:w="36" w:type="dxa"/>
            <w:left w:w="108" w:type="dxa"/>
            <w:bottom w:w="0" w:type="dxa"/>
            <w:right w:w="17" w:type="dxa"/>
          </w:tblCellMar>
        </w:tblPrEx>
        <w:trPr>
          <w:trHeight w:val="554"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2202D598">
            <w:pPr>
              <w:ind w:right="89"/>
              <w:jc w:val="center"/>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2235" w:type="dxa"/>
            <w:tcBorders>
              <w:top w:val="single" w:color="000000" w:sz="4" w:space="0"/>
              <w:left w:val="single" w:color="000000" w:sz="4" w:space="0"/>
              <w:bottom w:val="single" w:color="000000" w:sz="4" w:space="0"/>
              <w:right w:val="single" w:color="000000" w:sz="4" w:space="0"/>
            </w:tcBorders>
            <w:vAlign w:val="center"/>
          </w:tcPr>
          <w:p w14:paraId="74BEA395">
            <w:pPr>
              <w:jc w:val="center"/>
              <w:rPr>
                <w:rFonts w:ascii="仿宋_GB2312" w:eastAsia="仿宋_GB2312"/>
                <w:sz w:val="24"/>
                <w:szCs w:val="24"/>
              </w:rPr>
            </w:pPr>
            <w:r>
              <w:rPr>
                <w:rFonts w:hint="eastAsia" w:ascii="仿宋_GB2312" w:eastAsia="仿宋_GB2312"/>
                <w:sz w:val="24"/>
                <w:szCs w:val="24"/>
              </w:rPr>
              <w:t>配制工作液体积（</w:t>
            </w:r>
            <w:r>
              <w:rPr>
                <w:rFonts w:hint="eastAsia" w:ascii="仿宋_GB2312" w:hAnsi="Calibri" w:eastAsia="仿宋_GB2312" w:cs="Calibri"/>
                <w:sz w:val="24"/>
                <w:szCs w:val="24"/>
              </w:rPr>
              <w:t>ml</w:t>
            </w:r>
            <w:r>
              <w:rPr>
                <w:rFonts w:hint="eastAsia" w:ascii="仿宋_GB2312" w:eastAsia="仿宋_GB2312"/>
                <w:sz w:val="24"/>
                <w:szCs w:val="24"/>
              </w:rPr>
              <w:t>）</w:t>
            </w:r>
          </w:p>
        </w:tc>
        <w:tc>
          <w:tcPr>
            <w:tcW w:w="1724" w:type="dxa"/>
            <w:tcBorders>
              <w:top w:val="single" w:color="000000" w:sz="4" w:space="0"/>
              <w:left w:val="single" w:color="000000" w:sz="4" w:space="0"/>
              <w:bottom w:val="single" w:color="000000" w:sz="4" w:space="0"/>
              <w:right w:val="single" w:color="000000" w:sz="4" w:space="0"/>
            </w:tcBorders>
            <w:vAlign w:val="center"/>
          </w:tcPr>
          <w:p w14:paraId="7DE5B8AE">
            <w:pPr>
              <w:ind w:right="94"/>
              <w:jc w:val="center"/>
              <w:rPr>
                <w:rFonts w:ascii="仿宋_GB2312" w:eastAsia="仿宋_GB2312"/>
                <w:sz w:val="24"/>
                <w:szCs w:val="24"/>
              </w:rPr>
            </w:pPr>
            <w:r>
              <w:rPr>
                <w:rFonts w:hint="eastAsia" w:ascii="仿宋_GB2312" w:eastAsia="仿宋_GB2312"/>
                <w:sz w:val="24"/>
                <w:szCs w:val="24"/>
              </w:rPr>
              <w:t>配制剂量</w:t>
            </w:r>
            <w:r>
              <w:rPr>
                <w:rFonts w:hint="eastAsia" w:ascii="仿宋_GB2312" w:hAnsi="Calibri" w:eastAsia="仿宋_GB2312" w:cs="Calibri"/>
                <w:sz w:val="24"/>
                <w:szCs w:val="24"/>
              </w:rPr>
              <w:t xml:space="preserve"> </w:t>
            </w:r>
          </w:p>
        </w:tc>
        <w:tc>
          <w:tcPr>
            <w:tcW w:w="1549" w:type="dxa"/>
            <w:tcBorders>
              <w:top w:val="single" w:color="000000" w:sz="4" w:space="0"/>
              <w:left w:val="single" w:color="000000" w:sz="4" w:space="0"/>
              <w:bottom w:val="single" w:color="000000" w:sz="4" w:space="0"/>
              <w:right w:val="single" w:color="000000" w:sz="4" w:space="0"/>
            </w:tcBorders>
          </w:tcPr>
          <w:p w14:paraId="1F7F1F08">
            <w:pPr>
              <w:spacing w:after="27"/>
              <w:ind w:left="245"/>
              <w:rPr>
                <w:rFonts w:ascii="仿宋_GB2312" w:eastAsia="仿宋_GB2312"/>
                <w:sz w:val="24"/>
                <w:szCs w:val="24"/>
              </w:rPr>
            </w:pPr>
            <w:r>
              <w:rPr>
                <w:rFonts w:hint="eastAsia" w:ascii="仿宋_GB2312" w:eastAsia="仿宋_GB2312"/>
                <w:sz w:val="24"/>
                <w:szCs w:val="24"/>
              </w:rPr>
              <w:t>理论移取</w:t>
            </w:r>
            <w:r>
              <w:rPr>
                <w:rFonts w:hint="eastAsia" w:ascii="仿宋_GB2312" w:hAnsi="Calibri" w:eastAsia="仿宋_GB2312" w:cs="Calibri"/>
                <w:sz w:val="24"/>
                <w:szCs w:val="24"/>
              </w:rPr>
              <w:t xml:space="preserve"> </w:t>
            </w:r>
          </w:p>
          <w:p w14:paraId="4560B50A">
            <w:pPr>
              <w:ind w:right="92"/>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 xml:space="preserve">(ml) </w:t>
            </w:r>
          </w:p>
        </w:tc>
        <w:tc>
          <w:tcPr>
            <w:tcW w:w="1339" w:type="dxa"/>
            <w:tcBorders>
              <w:top w:val="single" w:color="000000" w:sz="4" w:space="0"/>
              <w:left w:val="single" w:color="000000" w:sz="4" w:space="0"/>
              <w:bottom w:val="single" w:color="000000" w:sz="4" w:space="0"/>
              <w:right w:val="single" w:color="000000" w:sz="4" w:space="0"/>
            </w:tcBorders>
          </w:tcPr>
          <w:p w14:paraId="7D20CA66">
            <w:pPr>
              <w:spacing w:after="27"/>
              <w:ind w:left="142"/>
              <w:rPr>
                <w:rFonts w:ascii="仿宋_GB2312" w:eastAsia="仿宋_GB2312"/>
                <w:sz w:val="24"/>
                <w:szCs w:val="24"/>
              </w:rPr>
            </w:pPr>
            <w:r>
              <w:rPr>
                <w:rFonts w:hint="eastAsia" w:ascii="仿宋_GB2312" w:eastAsia="仿宋_GB2312"/>
                <w:sz w:val="24"/>
                <w:szCs w:val="24"/>
              </w:rPr>
              <w:t>实际移取</w:t>
            </w:r>
            <w:r>
              <w:rPr>
                <w:rFonts w:hint="eastAsia" w:ascii="仿宋_GB2312" w:hAnsi="Calibri" w:eastAsia="仿宋_GB2312" w:cs="Calibri"/>
                <w:sz w:val="24"/>
                <w:szCs w:val="24"/>
              </w:rPr>
              <w:t xml:space="preserve"> </w:t>
            </w:r>
          </w:p>
          <w:p w14:paraId="3124E5FA">
            <w:pPr>
              <w:ind w:left="74"/>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(ml)</w:t>
            </w:r>
          </w:p>
        </w:tc>
      </w:tr>
      <w:tr w14:paraId="0C64B666">
        <w:tblPrEx>
          <w:tblCellMar>
            <w:top w:w="36"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081B96FB">
            <w:pPr>
              <w:ind w:right="91"/>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2235" w:type="dxa"/>
            <w:vMerge w:val="restart"/>
            <w:tcBorders>
              <w:top w:val="single" w:color="000000" w:sz="4" w:space="0"/>
              <w:left w:val="single" w:color="000000" w:sz="4" w:space="0"/>
              <w:bottom w:val="single" w:color="000000" w:sz="4" w:space="0"/>
              <w:right w:val="single" w:color="000000" w:sz="4" w:space="0"/>
            </w:tcBorders>
            <w:vAlign w:val="center"/>
          </w:tcPr>
          <w:p w14:paraId="3977D607">
            <w:pPr>
              <w:ind w:right="89"/>
              <w:jc w:val="center"/>
              <w:rPr>
                <w:rFonts w:ascii="仿宋_GB2312" w:eastAsia="仿宋_GB2312"/>
                <w:sz w:val="24"/>
                <w:szCs w:val="24"/>
              </w:rPr>
            </w:pPr>
            <w:r>
              <w:rPr>
                <w:rFonts w:hint="eastAsia" w:ascii="仿宋_GB2312" w:hAnsi="Calibri" w:eastAsia="仿宋_GB2312" w:cs="Calibri"/>
                <w:sz w:val="24"/>
                <w:szCs w:val="24"/>
              </w:rPr>
              <w:t xml:space="preserve">1000 </w:t>
            </w:r>
          </w:p>
        </w:tc>
        <w:tc>
          <w:tcPr>
            <w:tcW w:w="1724" w:type="dxa"/>
            <w:tcBorders>
              <w:top w:val="single" w:color="000000" w:sz="4" w:space="0"/>
              <w:left w:val="single" w:color="000000" w:sz="4" w:space="0"/>
              <w:bottom w:val="single" w:color="000000" w:sz="4" w:space="0"/>
              <w:right w:val="single" w:color="000000" w:sz="4" w:space="0"/>
            </w:tcBorders>
          </w:tcPr>
          <w:p w14:paraId="3E24B37A">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2</m:t>
                    </m:r>
                    <m:ctrlPr>
                      <w:rPr>
                        <w:rFonts w:hint="eastAsia" w:ascii="Cambria Math" w:hAnsi="Cambria Math" w:eastAsia="仿宋_GB2312"/>
                        <w:sz w:val="24"/>
                        <w:szCs w:val="24"/>
                      </w:rPr>
                    </m:ctrlPr>
                  </m:num>
                  <m:den>
                    <m:r>
                      <m:rPr/>
                      <w:rPr>
                        <w:rFonts w:hint="eastAsia" w:ascii="Cambria Math" w:hAnsi="Cambria Math" w:eastAsia="仿宋_GB2312"/>
                        <w:sz w:val="24"/>
                        <w:szCs w:val="24"/>
                      </w:rPr>
                      <m:t>7</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799D4BF9">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4B2713B1">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18FBDCD6">
        <w:tblPrEx>
          <w:tblCellMar>
            <w:top w:w="36"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6FA3E993">
            <w:pPr>
              <w:ind w:right="89"/>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nil"/>
              <w:right w:val="single" w:color="000000" w:sz="4" w:space="0"/>
            </w:tcBorders>
          </w:tcPr>
          <w:p w14:paraId="17077190">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6DA8A3B9">
            <w:pPr>
              <w:rPr>
                <w:rFonts w:ascii="仿宋_GB2312" w:eastAsia="仿宋_GB2312"/>
                <w:sz w:val="24"/>
                <w:szCs w:val="24"/>
              </w:rPr>
            </w:pPr>
            <m:oMathPara>
              <m:oMathParaPr>
                <m:jc m:val="center"/>
              </m:oMathParaPr>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3</m:t>
                    </m:r>
                    <m:ctrlPr>
                      <w:rPr>
                        <w:rFonts w:hint="eastAsia" w:ascii="Cambria Math" w:hAnsi="Cambria Math" w:eastAsia="仿宋_GB2312"/>
                        <w:sz w:val="24"/>
                        <w:szCs w:val="24"/>
                      </w:rPr>
                    </m:ctrlPr>
                  </m:num>
                  <m:den>
                    <m:r>
                      <m:rPr/>
                      <w:rPr>
                        <w:rFonts w:hint="eastAsia" w:ascii="Cambria Math" w:hAnsi="Cambria Math" w:eastAsia="仿宋_GB2312"/>
                        <w:sz w:val="24"/>
                        <w:szCs w:val="24"/>
                      </w:rPr>
                      <m:t>8</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4924791A">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1AB278AF">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6BD0BDCD">
        <w:tblPrEx>
          <w:tblCellMar>
            <w:top w:w="36" w:type="dxa"/>
            <w:left w:w="108" w:type="dxa"/>
            <w:bottom w:w="0" w:type="dxa"/>
            <w:right w:w="17" w:type="dxa"/>
          </w:tblCellMar>
        </w:tblPrEx>
        <w:trPr>
          <w:trHeight w:val="653"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2E612A5A">
            <w:pPr>
              <w:ind w:right="91"/>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single" w:color="000000" w:sz="4" w:space="0"/>
              <w:right w:val="single" w:color="000000" w:sz="4" w:space="0"/>
            </w:tcBorders>
          </w:tcPr>
          <w:p w14:paraId="42E4F57D">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25A357AC">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1</m:t>
                    </m:r>
                    <m:ctrlPr>
                      <w:rPr>
                        <w:rFonts w:hint="eastAsia" w:ascii="Cambria Math" w:hAnsi="Cambria Math" w:eastAsia="仿宋_GB2312"/>
                        <w:sz w:val="24"/>
                        <w:szCs w:val="24"/>
                      </w:rPr>
                    </m:ctrlPr>
                  </m:num>
                  <m:den>
                    <m:r>
                      <m:rPr/>
                      <w:rPr>
                        <w:rFonts w:hint="eastAsia" w:ascii="Cambria Math" w:hAnsi="Cambria Math" w:eastAsia="仿宋_GB2312"/>
                        <w:sz w:val="24"/>
                        <w:szCs w:val="24"/>
                      </w:rPr>
                      <m:t>6</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01E38B6A">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043C69BF">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bl>
    <w:p w14:paraId="36EF87B4">
      <w:pPr>
        <w:spacing w:before="312" w:beforeLines="100" w:after="312" w:afterLines="100"/>
        <w:ind w:left="-6" w:hanging="11"/>
        <w:rPr>
          <w:rFonts w:ascii="仿宋_GB2312" w:eastAsia="仿宋_GB2312"/>
          <w:b/>
          <w:sz w:val="30"/>
        </w:rPr>
      </w:pPr>
      <w:r>
        <w:rPr>
          <w:rFonts w:ascii="仿宋_GB2312" w:eastAsia="仿宋_GB2312"/>
          <w:b/>
          <w:sz w:val="30"/>
        </w:rPr>
        <w:t>实际操作结束时间（根据现场钟表填写）</w:t>
      </w:r>
      <w:r>
        <w:rPr>
          <w:rFonts w:hint="eastAsia" w:ascii="仿宋_GB2312" w:eastAsia="仿宋_GB2312"/>
          <w:b/>
          <w:sz w:val="30"/>
        </w:rPr>
        <w:t>：</w:t>
      </w:r>
    </w:p>
    <w:p w14:paraId="26D054BC">
      <w:pPr>
        <w:ind w:left="-5"/>
      </w:pPr>
    </w:p>
    <w:p w14:paraId="2765A58D">
      <w:pPr>
        <w:ind w:left="-5"/>
        <w:rPr>
          <w:rFonts w:hint="eastAsia"/>
        </w:rPr>
      </w:pPr>
    </w:p>
    <w:p w14:paraId="56015302">
      <w:pPr>
        <w:ind w:left="-5"/>
        <w:rPr>
          <w:rFonts w:hint="eastAsia"/>
        </w:rPr>
      </w:pPr>
    </w:p>
    <w:p w14:paraId="3B7D70C7">
      <w:pPr>
        <w:ind w:left="-5"/>
        <w:rPr>
          <w:rFonts w:hint="eastAsia"/>
        </w:rPr>
      </w:pPr>
    </w:p>
    <w:p w14:paraId="366946C7">
      <w:pPr>
        <w:ind w:left="-5"/>
      </w:pPr>
    </w:p>
    <w:p w14:paraId="49FC30D7">
      <w:pPr>
        <w:spacing w:after="188"/>
        <w:jc w:val="center"/>
        <w:rPr>
          <w:rFonts w:ascii="方正小标宋简体" w:eastAsia="方正小标宋简体"/>
        </w:rPr>
      </w:pPr>
      <w:r>
        <w:rPr>
          <w:rFonts w:hint="eastAsia" w:ascii="方正小标宋简体" w:eastAsia="方正小标宋简体"/>
          <w:sz w:val="36"/>
          <w:lang w:val="en-US" w:eastAsia="zh-CN"/>
        </w:rPr>
        <w:t>2025年河北省</w:t>
      </w:r>
      <w:r>
        <w:rPr>
          <w:rFonts w:hint="eastAsia" w:ascii="方正小标宋简体" w:eastAsia="方正小标宋简体"/>
          <w:sz w:val="36"/>
        </w:rPr>
        <w:t>职业院校技能大赛植物嫁接赛项</w:t>
      </w:r>
    </w:p>
    <w:p w14:paraId="05B36570">
      <w:pPr>
        <w:spacing w:after="188"/>
        <w:jc w:val="center"/>
        <w:rPr>
          <w:rFonts w:ascii="方正小标宋简体" w:eastAsia="方正小标宋简体"/>
          <w:sz w:val="36"/>
        </w:rPr>
      </w:pPr>
      <w:r>
        <w:rPr>
          <w:rFonts w:ascii="方正小标宋简体" w:eastAsia="方正小标宋简体"/>
          <w:sz w:val="36"/>
        </w:rPr>
        <w:t>营养液配制操作试题（</w:t>
      </w:r>
      <w:r>
        <w:rPr>
          <w:rFonts w:hint="eastAsia" w:ascii="方正小标宋简体" w:eastAsia="方正小标宋简体"/>
          <w:sz w:val="36"/>
        </w:rPr>
        <w:t>八</w:t>
      </w:r>
      <w:r>
        <w:rPr>
          <w:rFonts w:ascii="方正小标宋简体" w:eastAsia="方正小标宋简体"/>
          <w:sz w:val="36"/>
        </w:rPr>
        <w:t>）</w:t>
      </w:r>
    </w:p>
    <w:p w14:paraId="2A252372">
      <w:pPr>
        <w:spacing w:before="312" w:beforeLines="100" w:after="312" w:afterLines="100"/>
        <w:ind w:left="-6" w:hanging="11"/>
        <w:rPr>
          <w:rFonts w:hint="eastAsia" w:ascii="仿宋_GB2312" w:eastAsia="仿宋_GB2312"/>
          <w:b/>
          <w:sz w:val="30"/>
        </w:rPr>
      </w:pPr>
      <w:r>
        <w:rPr>
          <w:rFonts w:hint="eastAsia" w:ascii="仿宋_GB2312" w:eastAsia="仿宋_GB2312"/>
          <w:b/>
          <w:sz w:val="30"/>
        </w:rPr>
        <w:t>工位号：                     分数：</w:t>
      </w:r>
    </w:p>
    <w:p w14:paraId="3721A04A">
      <w:pPr>
        <w:spacing w:before="312" w:beforeLines="100" w:after="312" w:afterLines="100"/>
        <w:ind w:left="-6" w:hanging="11"/>
        <w:rPr>
          <w:rFonts w:ascii="仿宋_GB2312" w:eastAsia="仿宋_GB2312"/>
          <w:b/>
          <w:sz w:val="30"/>
        </w:rPr>
      </w:pPr>
      <w:r>
        <w:rPr>
          <w:rFonts w:ascii="仿宋_GB2312" w:eastAsia="仿宋_GB2312"/>
          <w:b/>
          <w:sz w:val="30"/>
        </w:rPr>
        <w:t xml:space="preserve">一、母液配制 </w:t>
      </w:r>
    </w:p>
    <w:tbl>
      <w:tblPr>
        <w:tblStyle w:val="11"/>
        <w:tblW w:w="8558" w:type="dxa"/>
        <w:tblInd w:w="-122" w:type="dxa"/>
        <w:tblLayout w:type="autofit"/>
        <w:tblCellMar>
          <w:top w:w="0" w:type="dxa"/>
          <w:left w:w="113" w:type="dxa"/>
          <w:bottom w:w="8" w:type="dxa"/>
          <w:right w:w="55" w:type="dxa"/>
        </w:tblCellMar>
      </w:tblPr>
      <w:tblGrid>
        <w:gridCol w:w="900"/>
        <w:gridCol w:w="1841"/>
        <w:gridCol w:w="1702"/>
        <w:gridCol w:w="708"/>
        <w:gridCol w:w="994"/>
        <w:gridCol w:w="1133"/>
        <w:gridCol w:w="1280"/>
      </w:tblGrid>
      <w:tr w14:paraId="6C00A899">
        <w:tblPrEx>
          <w:tblCellMar>
            <w:top w:w="0" w:type="dxa"/>
            <w:left w:w="113" w:type="dxa"/>
            <w:bottom w:w="8" w:type="dxa"/>
            <w:right w:w="55" w:type="dxa"/>
          </w:tblCellMar>
        </w:tblPrEx>
        <w:trPr>
          <w:trHeight w:val="812"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3064B6FB">
            <w:pPr>
              <w:ind w:left="127"/>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425F97EB">
            <w:pPr>
              <w:ind w:right="56"/>
              <w:jc w:val="center"/>
              <w:rPr>
                <w:rFonts w:ascii="仿宋_GB2312" w:eastAsia="仿宋_GB2312"/>
                <w:sz w:val="24"/>
                <w:szCs w:val="24"/>
              </w:rPr>
            </w:pPr>
            <w:r>
              <w:rPr>
                <w:rFonts w:hint="eastAsia" w:ascii="仿宋_GB2312" w:eastAsia="仿宋_GB2312"/>
                <w:sz w:val="24"/>
                <w:szCs w:val="24"/>
              </w:rPr>
              <w:t>成份</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69E30423">
            <w:pPr>
              <w:ind w:left="36"/>
              <w:jc w:val="center"/>
              <w:rPr>
                <w:rFonts w:ascii="仿宋_GB2312" w:eastAsia="仿宋_GB2312"/>
                <w:sz w:val="24"/>
                <w:szCs w:val="24"/>
              </w:rPr>
            </w:pPr>
            <w:r>
              <w:rPr>
                <w:rFonts w:hint="eastAsia" w:ascii="仿宋_GB2312" w:eastAsia="仿宋_GB2312"/>
                <w:sz w:val="24"/>
                <w:szCs w:val="24"/>
              </w:rPr>
              <w:t>标准用量</w:t>
            </w:r>
            <w:r>
              <w:rPr>
                <w:rFonts w:hint="eastAsia" w:ascii="仿宋_GB2312" w:hAnsi="Calibri" w:eastAsia="仿宋_GB2312" w:cs="Calibri"/>
                <w:sz w:val="24"/>
                <w:szCs w:val="24"/>
              </w:rPr>
              <w:t>(mg/L)</w:t>
            </w:r>
          </w:p>
        </w:tc>
        <w:tc>
          <w:tcPr>
            <w:tcW w:w="708" w:type="dxa"/>
            <w:tcBorders>
              <w:top w:val="single" w:color="000000" w:sz="4" w:space="0"/>
              <w:left w:val="single" w:color="000000" w:sz="4" w:space="0"/>
              <w:bottom w:val="single" w:color="000000" w:sz="4" w:space="0"/>
              <w:right w:val="single" w:color="000000" w:sz="4" w:space="0"/>
            </w:tcBorders>
            <w:vAlign w:val="center"/>
          </w:tcPr>
          <w:p w14:paraId="55C089B4">
            <w:pPr>
              <w:jc w:val="center"/>
              <w:rPr>
                <w:rFonts w:ascii="仿宋_GB2312" w:eastAsia="仿宋_GB2312"/>
                <w:sz w:val="24"/>
                <w:szCs w:val="24"/>
              </w:rPr>
            </w:pPr>
            <w:r>
              <w:rPr>
                <w:rFonts w:hint="eastAsia" w:ascii="仿宋_GB2312" w:eastAsia="仿宋_GB2312"/>
                <w:sz w:val="24"/>
                <w:szCs w:val="24"/>
              </w:rPr>
              <w:t>浓缩倍数</w:t>
            </w:r>
            <w:r>
              <w:rPr>
                <w:rFonts w:hint="eastAsia" w:ascii="仿宋_GB2312" w:hAnsi="Calibri" w:eastAsia="仿宋_GB2312" w:cs="Calibri"/>
                <w:sz w:val="24"/>
                <w:szCs w:val="24"/>
              </w:rPr>
              <w:t xml:space="preserve"> </w:t>
            </w:r>
          </w:p>
        </w:tc>
        <w:tc>
          <w:tcPr>
            <w:tcW w:w="994" w:type="dxa"/>
            <w:tcBorders>
              <w:top w:val="single" w:color="000000" w:sz="4" w:space="0"/>
              <w:left w:val="single" w:color="000000" w:sz="4" w:space="0"/>
              <w:bottom w:val="single" w:color="000000" w:sz="4" w:space="0"/>
              <w:right w:val="single" w:color="000000" w:sz="4" w:space="0"/>
            </w:tcBorders>
          </w:tcPr>
          <w:p w14:paraId="3EBA1B8C">
            <w:pPr>
              <w:spacing w:line="255" w:lineRule="auto"/>
              <w:jc w:val="center"/>
              <w:rPr>
                <w:rFonts w:ascii="仿宋_GB2312" w:eastAsia="仿宋_GB2312"/>
                <w:sz w:val="24"/>
                <w:szCs w:val="24"/>
              </w:rPr>
            </w:pPr>
            <w:r>
              <w:rPr>
                <w:rFonts w:hint="eastAsia" w:ascii="仿宋_GB2312" w:eastAsia="仿宋_GB2312"/>
                <w:sz w:val="24"/>
                <w:szCs w:val="24"/>
              </w:rPr>
              <w:t>配制母液体积</w:t>
            </w:r>
          </w:p>
          <w:p w14:paraId="19A89E0D">
            <w:pPr>
              <w:ind w:right="58"/>
              <w:jc w:val="center"/>
              <w:rPr>
                <w:rFonts w:ascii="仿宋_GB2312" w:eastAsia="仿宋_GB2312"/>
                <w:sz w:val="24"/>
                <w:szCs w:val="24"/>
              </w:rPr>
            </w:pPr>
            <w:r>
              <w:rPr>
                <w:rFonts w:hint="eastAsia" w:ascii="仿宋_GB2312" w:hAnsi="Calibri" w:eastAsia="仿宋_GB2312" w:cs="Calibri"/>
                <w:sz w:val="24"/>
                <w:szCs w:val="24"/>
              </w:rPr>
              <w:t xml:space="preserve">(ml) </w:t>
            </w:r>
          </w:p>
        </w:tc>
        <w:tc>
          <w:tcPr>
            <w:tcW w:w="1133" w:type="dxa"/>
            <w:tcBorders>
              <w:top w:val="single" w:color="000000" w:sz="4" w:space="0"/>
              <w:left w:val="single" w:color="000000" w:sz="4" w:space="0"/>
              <w:bottom w:val="single" w:color="000000" w:sz="4" w:space="0"/>
              <w:right w:val="single" w:color="000000" w:sz="4" w:space="0"/>
            </w:tcBorders>
            <w:vAlign w:val="center"/>
          </w:tcPr>
          <w:p w14:paraId="1B66A785">
            <w:pPr>
              <w:jc w:val="center"/>
              <w:rPr>
                <w:rFonts w:ascii="仿宋_GB2312" w:eastAsia="仿宋_GB2312"/>
                <w:sz w:val="24"/>
                <w:szCs w:val="24"/>
              </w:rPr>
            </w:pPr>
            <w:r>
              <w:rPr>
                <w:rFonts w:hint="eastAsia" w:ascii="仿宋_GB2312" w:eastAsia="仿宋_GB2312"/>
                <w:sz w:val="24"/>
                <w:szCs w:val="24"/>
              </w:rPr>
              <w:t>理论计算值</w:t>
            </w:r>
            <w:r>
              <w:rPr>
                <w:rFonts w:hint="eastAsia" w:ascii="仿宋_GB2312" w:hAnsi="Calibri" w:eastAsia="仿宋_GB2312" w:cs="Calibri"/>
                <w:sz w:val="24"/>
                <w:szCs w:val="24"/>
              </w:rPr>
              <w:t xml:space="preserve">(g) </w:t>
            </w:r>
          </w:p>
        </w:tc>
        <w:tc>
          <w:tcPr>
            <w:tcW w:w="1280" w:type="dxa"/>
            <w:tcBorders>
              <w:top w:val="single" w:color="000000" w:sz="4" w:space="0"/>
              <w:left w:val="single" w:color="000000" w:sz="4" w:space="0"/>
              <w:bottom w:val="single" w:color="000000" w:sz="4" w:space="0"/>
              <w:right w:val="single" w:color="000000" w:sz="4" w:space="0"/>
            </w:tcBorders>
            <w:vAlign w:val="center"/>
          </w:tcPr>
          <w:p w14:paraId="196B6C22">
            <w:pPr>
              <w:rPr>
                <w:rFonts w:ascii="仿宋_GB2312" w:eastAsia="仿宋_GB2312"/>
                <w:sz w:val="24"/>
                <w:szCs w:val="24"/>
              </w:rPr>
            </w:pPr>
            <w:r>
              <w:rPr>
                <w:rFonts w:hint="eastAsia" w:ascii="仿宋_GB2312" w:eastAsia="仿宋_GB2312"/>
                <w:sz w:val="24"/>
                <w:szCs w:val="24"/>
              </w:rPr>
              <w:t>实际称取值</w:t>
            </w:r>
            <w:r>
              <w:rPr>
                <w:rFonts w:hint="eastAsia" w:ascii="仿宋_GB2312" w:hAnsi="Calibri" w:eastAsia="仿宋_GB2312" w:cs="Calibri"/>
                <w:sz w:val="24"/>
                <w:szCs w:val="24"/>
              </w:rPr>
              <w:t xml:space="preserve">(g) </w:t>
            </w:r>
          </w:p>
        </w:tc>
      </w:tr>
      <w:tr w14:paraId="0065A179">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4DB26F28">
            <w:pPr>
              <w:ind w:right="58"/>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70778756">
            <w:pPr>
              <w:ind w:right="55"/>
              <w:jc w:val="center"/>
              <w:rPr>
                <w:rFonts w:ascii="仿宋_GB2312" w:eastAsia="仿宋_GB2312"/>
                <w:sz w:val="24"/>
                <w:szCs w:val="24"/>
              </w:rPr>
            </w:pPr>
            <w:r>
              <w:rPr>
                <w:rFonts w:hint="eastAsia" w:ascii="仿宋_GB2312" w:hAnsi="Calibri" w:eastAsia="仿宋_GB2312" w:cs="Calibri"/>
                <w:sz w:val="24"/>
                <w:szCs w:val="24"/>
              </w:rPr>
              <w:t>Ca(NO</w:t>
            </w:r>
            <w:r>
              <w:rPr>
                <w:rFonts w:hint="eastAsia" w:ascii="仿宋_GB2312" w:hAnsi="Calibri" w:eastAsia="仿宋_GB2312" w:cs="Calibri"/>
                <w:sz w:val="24"/>
                <w:szCs w:val="24"/>
                <w:vertAlign w:val="subscript"/>
              </w:rPr>
              <w:t>3</w:t>
            </w:r>
            <w:r>
              <w:rPr>
                <w:rFonts w:hint="eastAsia" w:ascii="仿宋_GB2312" w:hAnsi="Calibri" w:eastAsia="仿宋_GB2312" w:cs="Calibri"/>
                <w:sz w:val="24"/>
                <w:szCs w:val="24"/>
              </w:rPr>
              <w:t>)</w:t>
            </w:r>
            <w:r>
              <w:rPr>
                <w:rFonts w:hint="eastAsia" w:ascii="仿宋_GB2312" w:hAnsi="Calibri" w:eastAsia="仿宋_GB2312" w:cs="Calibri"/>
                <w:sz w:val="24"/>
                <w:szCs w:val="24"/>
                <w:vertAlign w:val="subscript"/>
              </w:rPr>
              <w:t>2</w:t>
            </w:r>
            <w:r>
              <w:rPr>
                <w:rFonts w:hint="eastAsia"/>
                <w:sz w:val="24"/>
                <w:szCs w:val="24"/>
              </w:rPr>
              <w:t>﹒</w:t>
            </w:r>
            <w:r>
              <w:rPr>
                <w:rFonts w:hint="eastAsia" w:ascii="仿宋_GB2312" w:hAnsi="Calibri" w:eastAsia="仿宋_GB2312" w:cs="Calibri"/>
                <w:sz w:val="24"/>
                <w:szCs w:val="24"/>
              </w:rPr>
              <w:t>4H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000000" w:sz="4" w:space="0"/>
              <w:left w:val="single" w:color="000000" w:sz="4" w:space="0"/>
              <w:bottom w:val="single" w:color="000000" w:sz="4" w:space="0"/>
              <w:right w:val="single" w:color="000000" w:sz="4" w:space="0"/>
            </w:tcBorders>
            <w:vAlign w:val="center"/>
          </w:tcPr>
          <w:p w14:paraId="4FCD27AF">
            <w:pPr>
              <w:ind w:right="56"/>
              <w:jc w:val="center"/>
              <w:rPr>
                <w:rFonts w:ascii="仿宋_GB2312" w:eastAsia="仿宋_GB2312"/>
                <w:sz w:val="24"/>
                <w:szCs w:val="24"/>
              </w:rPr>
            </w:pPr>
            <w:r>
              <w:rPr>
                <w:rFonts w:hint="eastAsia" w:ascii="仿宋_GB2312" w:hAnsi="Calibri" w:eastAsia="仿宋_GB2312" w:cs="Calibri"/>
                <w:sz w:val="24"/>
                <w:szCs w:val="24"/>
              </w:rPr>
              <w:t xml:space="preserve">945 </w:t>
            </w:r>
          </w:p>
        </w:tc>
        <w:tc>
          <w:tcPr>
            <w:tcW w:w="708" w:type="dxa"/>
            <w:tcBorders>
              <w:top w:val="single" w:color="000000" w:sz="4" w:space="0"/>
              <w:left w:val="single" w:color="000000" w:sz="4" w:space="0"/>
              <w:bottom w:val="single" w:color="000000" w:sz="4" w:space="0"/>
              <w:right w:val="single" w:color="000000" w:sz="4" w:space="0"/>
            </w:tcBorders>
            <w:vAlign w:val="center"/>
          </w:tcPr>
          <w:p w14:paraId="49ED2241">
            <w:pPr>
              <w:ind w:left="120"/>
              <w:rPr>
                <w:rFonts w:ascii="仿宋_GB2312" w:eastAsia="仿宋_GB2312"/>
                <w:sz w:val="24"/>
                <w:szCs w:val="24"/>
              </w:rPr>
            </w:pPr>
            <w:r>
              <w:rPr>
                <w:rFonts w:hint="eastAsia" w:ascii="仿宋_GB2312" w:hAnsi="Calibri" w:eastAsia="仿宋_GB2312" w:cs="Calibri"/>
                <w:sz w:val="24"/>
                <w:szCs w:val="24"/>
              </w:rPr>
              <w:t xml:space="preserve">90 </w:t>
            </w:r>
          </w:p>
        </w:tc>
        <w:tc>
          <w:tcPr>
            <w:tcW w:w="994" w:type="dxa"/>
            <w:tcBorders>
              <w:top w:val="single" w:color="000000" w:sz="4" w:space="0"/>
              <w:left w:val="single" w:color="000000" w:sz="4" w:space="0"/>
              <w:bottom w:val="single" w:color="000000" w:sz="4" w:space="0"/>
              <w:right w:val="single" w:color="000000" w:sz="4" w:space="0"/>
            </w:tcBorders>
            <w:vAlign w:val="center"/>
          </w:tcPr>
          <w:p w14:paraId="6399FED9">
            <w:pPr>
              <w:ind w:right="62"/>
              <w:jc w:val="center"/>
              <w:rPr>
                <w:rFonts w:ascii="仿宋_GB2312" w:eastAsia="仿宋_GB2312"/>
                <w:sz w:val="24"/>
                <w:szCs w:val="24"/>
              </w:rPr>
            </w:pPr>
            <w:r>
              <w:rPr>
                <w:rFonts w:hint="eastAsia" w:ascii="仿宋_GB2312" w:hAnsi="Calibri" w:eastAsia="仿宋_GB2312" w:cs="Calibri"/>
                <w:sz w:val="24"/>
                <w:szCs w:val="24"/>
              </w:rPr>
              <w:t xml:space="preserve">250 </w:t>
            </w:r>
          </w:p>
        </w:tc>
        <w:tc>
          <w:tcPr>
            <w:tcW w:w="1133" w:type="dxa"/>
            <w:tcBorders>
              <w:top w:val="single" w:color="000000" w:sz="4" w:space="0"/>
              <w:left w:val="single" w:color="000000" w:sz="4" w:space="0"/>
              <w:bottom w:val="single" w:color="000000" w:sz="4" w:space="0"/>
              <w:right w:val="single" w:color="000000" w:sz="4" w:space="0"/>
            </w:tcBorders>
            <w:vAlign w:val="center"/>
          </w:tcPr>
          <w:p w14:paraId="041F4597">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3AC1A77F">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14EB446F">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543087F8">
            <w:pPr>
              <w:ind w:right="55"/>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0A0B020C">
            <w:pPr>
              <w:ind w:right="57"/>
              <w:jc w:val="center"/>
              <w:rPr>
                <w:rFonts w:ascii="仿宋_GB2312" w:eastAsia="仿宋_GB2312"/>
                <w:sz w:val="24"/>
                <w:szCs w:val="24"/>
              </w:rPr>
            </w:pPr>
            <w:r>
              <w:rPr>
                <w:rFonts w:hint="eastAsia" w:ascii="仿宋_GB2312" w:hAnsi="Calibri" w:eastAsia="仿宋_GB2312" w:cs="Calibri"/>
                <w:sz w:val="24"/>
                <w:szCs w:val="24"/>
              </w:rPr>
              <w:t>NH</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PO</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5D1C5F95">
            <w:pPr>
              <w:ind w:right="56"/>
              <w:jc w:val="center"/>
              <w:rPr>
                <w:rFonts w:ascii="仿宋_GB2312" w:eastAsia="仿宋_GB2312"/>
                <w:sz w:val="24"/>
                <w:szCs w:val="24"/>
              </w:rPr>
            </w:pPr>
            <w:r>
              <w:rPr>
                <w:rFonts w:hint="eastAsia" w:ascii="仿宋_GB2312" w:hAnsi="Calibri" w:eastAsia="仿宋_GB2312" w:cs="Calibri"/>
                <w:sz w:val="24"/>
                <w:szCs w:val="24"/>
              </w:rPr>
              <w:t xml:space="preserve">153 </w:t>
            </w:r>
          </w:p>
        </w:tc>
        <w:tc>
          <w:tcPr>
            <w:tcW w:w="708" w:type="dxa"/>
            <w:tcBorders>
              <w:top w:val="single" w:color="000000" w:sz="4" w:space="0"/>
              <w:left w:val="single" w:color="000000" w:sz="4" w:space="0"/>
              <w:bottom w:val="single" w:color="000000" w:sz="4" w:space="0"/>
              <w:right w:val="single" w:color="000000" w:sz="4" w:space="0"/>
            </w:tcBorders>
            <w:vAlign w:val="center"/>
          </w:tcPr>
          <w:p w14:paraId="5BDEEB8E">
            <w:pPr>
              <w:ind w:left="120"/>
              <w:rPr>
                <w:rFonts w:ascii="仿宋_GB2312" w:eastAsia="仿宋_GB2312"/>
                <w:sz w:val="24"/>
                <w:szCs w:val="24"/>
              </w:rPr>
            </w:pPr>
            <w:r>
              <w:rPr>
                <w:rFonts w:hint="eastAsia" w:ascii="仿宋_GB2312" w:hAnsi="Calibri" w:eastAsia="仿宋_GB2312" w:cs="Calibri"/>
                <w:sz w:val="24"/>
                <w:szCs w:val="24"/>
              </w:rPr>
              <w:t>45</w:t>
            </w:r>
          </w:p>
        </w:tc>
        <w:tc>
          <w:tcPr>
            <w:tcW w:w="994" w:type="dxa"/>
            <w:tcBorders>
              <w:top w:val="single" w:color="000000" w:sz="4" w:space="0"/>
              <w:left w:val="single" w:color="000000" w:sz="4" w:space="0"/>
              <w:bottom w:val="single" w:color="000000" w:sz="4" w:space="0"/>
              <w:right w:val="single" w:color="000000" w:sz="4" w:space="0"/>
            </w:tcBorders>
            <w:vAlign w:val="center"/>
          </w:tcPr>
          <w:p w14:paraId="198723D9">
            <w:pPr>
              <w:ind w:right="62"/>
              <w:jc w:val="center"/>
              <w:rPr>
                <w:rFonts w:ascii="仿宋_GB2312" w:eastAsia="仿宋_GB2312"/>
                <w:sz w:val="24"/>
                <w:szCs w:val="24"/>
              </w:rPr>
            </w:pPr>
            <w:r>
              <w:rPr>
                <w:rFonts w:hint="eastAsia" w:ascii="仿宋_GB2312" w:hAnsi="Calibri" w:eastAsia="仿宋_GB2312" w:cs="Calibri"/>
                <w:sz w:val="24"/>
                <w:szCs w:val="24"/>
              </w:rPr>
              <w:t xml:space="preserve">500 </w:t>
            </w:r>
          </w:p>
        </w:tc>
        <w:tc>
          <w:tcPr>
            <w:tcW w:w="1133" w:type="dxa"/>
            <w:tcBorders>
              <w:top w:val="single" w:color="000000" w:sz="4" w:space="0"/>
              <w:left w:val="single" w:color="000000" w:sz="4" w:space="0"/>
              <w:bottom w:val="single" w:color="000000" w:sz="4" w:space="0"/>
              <w:right w:val="single" w:color="000000" w:sz="4" w:space="0"/>
            </w:tcBorders>
            <w:vAlign w:val="center"/>
          </w:tcPr>
          <w:p w14:paraId="2D8725DF">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3E5097E6">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7046FDE0">
        <w:tblPrEx>
          <w:tblCellMar>
            <w:top w:w="0" w:type="dxa"/>
            <w:left w:w="113" w:type="dxa"/>
            <w:bottom w:w="8" w:type="dxa"/>
            <w:right w:w="55" w:type="dxa"/>
          </w:tblCellMar>
        </w:tblPrEx>
        <w:trPr>
          <w:trHeight w:val="466" w:hRule="atLeast"/>
        </w:trPr>
        <w:tc>
          <w:tcPr>
            <w:tcW w:w="900" w:type="dxa"/>
            <w:vMerge w:val="restart"/>
            <w:tcBorders>
              <w:top w:val="single" w:color="000000" w:sz="4" w:space="0"/>
              <w:left w:val="single" w:color="000000" w:sz="4" w:space="0"/>
              <w:bottom w:val="nil"/>
              <w:right w:val="single" w:color="000000" w:sz="4" w:space="0"/>
            </w:tcBorders>
            <w:vAlign w:val="center"/>
          </w:tcPr>
          <w:p w14:paraId="780CBE95">
            <w:pPr>
              <w:ind w:right="58"/>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p>
        </w:tc>
        <w:tc>
          <w:tcPr>
            <w:tcW w:w="1841" w:type="dxa"/>
            <w:tcBorders>
              <w:top w:val="single" w:color="000000" w:sz="4" w:space="0"/>
              <w:left w:val="single" w:color="000000" w:sz="4" w:space="0"/>
              <w:bottom w:val="single" w:color="000000" w:sz="4" w:space="0"/>
              <w:right w:val="single" w:color="000000" w:sz="4" w:space="0"/>
            </w:tcBorders>
            <w:vAlign w:val="center"/>
          </w:tcPr>
          <w:p w14:paraId="248FD0D0">
            <w:pPr>
              <w:ind w:right="55"/>
              <w:jc w:val="center"/>
              <w:rPr>
                <w:rFonts w:ascii="仿宋_GB2312" w:eastAsia="仿宋_GB2312"/>
                <w:sz w:val="24"/>
                <w:szCs w:val="24"/>
              </w:rPr>
            </w:pPr>
            <w:r>
              <w:rPr>
                <w:rFonts w:hint="eastAsia" w:ascii="仿宋_GB2312" w:hAnsi="Calibri" w:eastAsia="仿宋_GB2312" w:cs="Calibri"/>
                <w:sz w:val="24"/>
                <w:szCs w:val="24"/>
              </w:rPr>
              <w:t>FeSO</w:t>
            </w:r>
            <w:r>
              <w:rPr>
                <w:rFonts w:hint="eastAsia" w:ascii="仿宋_GB2312" w:hAnsi="Calibri" w:eastAsia="仿宋_GB2312" w:cs="Calibri"/>
                <w:sz w:val="24"/>
                <w:szCs w:val="24"/>
                <w:vertAlign w:val="subscript"/>
              </w:rPr>
              <w:t>4</w:t>
            </w:r>
            <w:r>
              <w:rPr>
                <w:rFonts w:hint="eastAsia"/>
                <w:sz w:val="24"/>
                <w:szCs w:val="24"/>
              </w:rPr>
              <w:t>﹒</w:t>
            </w:r>
            <w:r>
              <w:rPr>
                <w:rFonts w:hint="eastAsia" w:ascii="仿宋_GB2312" w:hAnsi="Calibri" w:eastAsia="仿宋_GB2312" w:cs="Calibri"/>
                <w:sz w:val="24"/>
                <w:szCs w:val="24"/>
              </w:rPr>
              <w:t>7H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O</w:t>
            </w:r>
          </w:p>
        </w:tc>
        <w:tc>
          <w:tcPr>
            <w:tcW w:w="1702" w:type="dxa"/>
            <w:tcBorders>
              <w:top w:val="single" w:color="000000" w:sz="4" w:space="0"/>
              <w:left w:val="single" w:color="000000" w:sz="4" w:space="0"/>
              <w:bottom w:val="single" w:color="000000" w:sz="4" w:space="0"/>
              <w:right w:val="single" w:color="000000" w:sz="4" w:space="0"/>
            </w:tcBorders>
            <w:vAlign w:val="center"/>
          </w:tcPr>
          <w:p w14:paraId="5F3AFDEE">
            <w:pPr>
              <w:ind w:right="57"/>
              <w:jc w:val="center"/>
              <w:rPr>
                <w:rFonts w:ascii="仿宋_GB2312" w:eastAsia="仿宋_GB2312"/>
                <w:sz w:val="24"/>
                <w:szCs w:val="24"/>
              </w:rPr>
            </w:pPr>
            <w:r>
              <w:rPr>
                <w:rFonts w:hint="eastAsia" w:ascii="仿宋_GB2312" w:hAnsi="Calibri" w:eastAsia="仿宋_GB2312" w:cs="Calibri"/>
                <w:sz w:val="24"/>
                <w:szCs w:val="24"/>
              </w:rPr>
              <w:t>13.9</w:t>
            </w:r>
          </w:p>
        </w:tc>
        <w:tc>
          <w:tcPr>
            <w:tcW w:w="708" w:type="dxa"/>
            <w:vMerge w:val="restart"/>
            <w:tcBorders>
              <w:top w:val="single" w:color="000000" w:sz="4" w:space="0"/>
              <w:left w:val="single" w:color="000000" w:sz="4" w:space="0"/>
              <w:bottom w:val="nil"/>
              <w:right w:val="single" w:color="000000" w:sz="4" w:space="0"/>
            </w:tcBorders>
            <w:vAlign w:val="center"/>
          </w:tcPr>
          <w:p w14:paraId="55DFC43D">
            <w:pPr>
              <w:ind w:left="60"/>
              <w:jc w:val="center"/>
              <w:rPr>
                <w:rFonts w:ascii="仿宋_GB2312" w:eastAsia="仿宋_GB2312"/>
                <w:sz w:val="24"/>
                <w:szCs w:val="24"/>
              </w:rPr>
            </w:pPr>
            <w:r>
              <w:rPr>
                <w:rFonts w:hint="eastAsia" w:ascii="仿宋_GB2312" w:hAnsi="Calibri" w:eastAsia="仿宋_GB2312" w:cs="Calibri"/>
                <w:sz w:val="24"/>
                <w:szCs w:val="24"/>
              </w:rPr>
              <w:t>360</w:t>
            </w:r>
          </w:p>
        </w:tc>
        <w:tc>
          <w:tcPr>
            <w:tcW w:w="994" w:type="dxa"/>
            <w:vMerge w:val="restart"/>
            <w:tcBorders>
              <w:top w:val="single" w:color="000000" w:sz="4" w:space="0"/>
              <w:left w:val="single" w:color="000000" w:sz="4" w:space="0"/>
              <w:bottom w:val="nil"/>
              <w:right w:val="single" w:color="000000" w:sz="4" w:space="0"/>
            </w:tcBorders>
            <w:vAlign w:val="center"/>
          </w:tcPr>
          <w:p w14:paraId="1597F909">
            <w:pPr>
              <w:ind w:right="62"/>
              <w:jc w:val="center"/>
              <w:rPr>
                <w:rFonts w:ascii="仿宋_GB2312" w:eastAsia="仿宋_GB2312"/>
                <w:sz w:val="24"/>
                <w:szCs w:val="24"/>
              </w:rPr>
            </w:pPr>
            <w:r>
              <w:rPr>
                <w:rFonts w:hint="eastAsia" w:ascii="仿宋_GB2312" w:hAnsi="Calibri" w:eastAsia="仿宋_GB2312" w:cs="Calibri"/>
                <w:sz w:val="24"/>
                <w:szCs w:val="24"/>
              </w:rPr>
              <w:t>250</w:t>
            </w:r>
          </w:p>
        </w:tc>
        <w:tc>
          <w:tcPr>
            <w:tcW w:w="1133" w:type="dxa"/>
            <w:tcBorders>
              <w:top w:val="single" w:color="000000" w:sz="4" w:space="0"/>
              <w:left w:val="single" w:color="000000" w:sz="4" w:space="0"/>
              <w:bottom w:val="single" w:color="000000" w:sz="4" w:space="0"/>
              <w:right w:val="single" w:color="000000" w:sz="4" w:space="0"/>
            </w:tcBorders>
            <w:vAlign w:val="center"/>
          </w:tcPr>
          <w:p w14:paraId="754F47A7">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604972AE">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30B854E0">
        <w:tblPrEx>
          <w:tblCellMar>
            <w:top w:w="0" w:type="dxa"/>
            <w:left w:w="113" w:type="dxa"/>
            <w:bottom w:w="8" w:type="dxa"/>
            <w:right w:w="55" w:type="dxa"/>
          </w:tblCellMar>
        </w:tblPrEx>
        <w:trPr>
          <w:trHeight w:val="163" w:hRule="atLeast"/>
        </w:trPr>
        <w:tc>
          <w:tcPr>
            <w:tcW w:w="0" w:type="auto"/>
            <w:vMerge w:val="continue"/>
            <w:tcBorders>
              <w:top w:val="nil"/>
              <w:left w:val="single" w:color="000000" w:sz="4" w:space="0"/>
              <w:bottom w:val="single" w:color="auto" w:sz="4" w:space="0"/>
              <w:right w:val="single" w:color="000000" w:sz="4" w:space="0"/>
            </w:tcBorders>
            <w:vAlign w:val="center"/>
          </w:tcPr>
          <w:p w14:paraId="7DE8EF7A">
            <w:pPr>
              <w:spacing w:after="160"/>
              <w:jc w:val="center"/>
              <w:rPr>
                <w:rFonts w:ascii="仿宋_GB2312" w:eastAsia="仿宋_GB2312"/>
                <w:sz w:val="24"/>
                <w:szCs w:val="24"/>
              </w:rPr>
            </w:pPr>
          </w:p>
        </w:tc>
        <w:tc>
          <w:tcPr>
            <w:tcW w:w="1841" w:type="dxa"/>
            <w:tcBorders>
              <w:top w:val="single" w:color="000000" w:sz="4" w:space="0"/>
              <w:left w:val="single" w:color="000000" w:sz="4" w:space="0"/>
              <w:bottom w:val="single" w:color="auto" w:sz="4" w:space="0"/>
              <w:right w:val="single" w:color="000000" w:sz="4" w:space="0"/>
            </w:tcBorders>
            <w:vAlign w:val="center"/>
          </w:tcPr>
          <w:p w14:paraId="522D80D9">
            <w:pPr>
              <w:ind w:right="56"/>
              <w:jc w:val="center"/>
              <w:rPr>
                <w:rFonts w:ascii="仿宋_GB2312" w:eastAsia="仿宋_GB2312"/>
                <w:sz w:val="24"/>
                <w:szCs w:val="24"/>
              </w:rPr>
            </w:pPr>
            <w:r>
              <w:rPr>
                <w:rFonts w:hint="eastAsia" w:ascii="仿宋_GB2312" w:hAnsi="Calibri" w:eastAsia="仿宋_GB2312" w:cs="Calibri"/>
                <w:sz w:val="24"/>
                <w:szCs w:val="24"/>
              </w:rPr>
              <w:t>Na</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-EDTA</w:t>
            </w:r>
          </w:p>
        </w:tc>
        <w:tc>
          <w:tcPr>
            <w:tcW w:w="1702" w:type="dxa"/>
            <w:tcBorders>
              <w:top w:val="single" w:color="000000" w:sz="4" w:space="0"/>
              <w:left w:val="single" w:color="000000" w:sz="4" w:space="0"/>
              <w:bottom w:val="single" w:color="auto" w:sz="4" w:space="0"/>
              <w:right w:val="single" w:color="000000" w:sz="4" w:space="0"/>
            </w:tcBorders>
            <w:vAlign w:val="center"/>
          </w:tcPr>
          <w:p w14:paraId="35B84B32">
            <w:pPr>
              <w:ind w:right="57"/>
              <w:jc w:val="center"/>
              <w:rPr>
                <w:rFonts w:ascii="仿宋_GB2312" w:eastAsia="仿宋_GB2312"/>
                <w:sz w:val="24"/>
                <w:szCs w:val="24"/>
              </w:rPr>
            </w:pPr>
            <w:r>
              <w:rPr>
                <w:rFonts w:hint="eastAsia" w:ascii="仿宋_GB2312" w:hAnsi="Calibri" w:eastAsia="仿宋_GB2312" w:cs="Calibri"/>
                <w:sz w:val="24"/>
                <w:szCs w:val="24"/>
              </w:rPr>
              <w:t>18.6</w:t>
            </w:r>
          </w:p>
        </w:tc>
        <w:tc>
          <w:tcPr>
            <w:tcW w:w="0" w:type="auto"/>
            <w:vMerge w:val="continue"/>
            <w:tcBorders>
              <w:top w:val="nil"/>
              <w:left w:val="single" w:color="000000" w:sz="4" w:space="0"/>
              <w:bottom w:val="single" w:color="auto" w:sz="4" w:space="0"/>
              <w:right w:val="single" w:color="000000" w:sz="4" w:space="0"/>
            </w:tcBorders>
            <w:vAlign w:val="center"/>
          </w:tcPr>
          <w:p w14:paraId="0F35816F">
            <w:pPr>
              <w:spacing w:after="160"/>
              <w:jc w:val="center"/>
              <w:rPr>
                <w:rFonts w:ascii="仿宋_GB2312" w:eastAsia="仿宋_GB2312"/>
                <w:sz w:val="24"/>
                <w:szCs w:val="24"/>
              </w:rPr>
            </w:pPr>
          </w:p>
        </w:tc>
        <w:tc>
          <w:tcPr>
            <w:tcW w:w="0" w:type="auto"/>
            <w:vMerge w:val="continue"/>
            <w:tcBorders>
              <w:top w:val="nil"/>
              <w:left w:val="single" w:color="000000" w:sz="4" w:space="0"/>
              <w:bottom w:val="single" w:color="auto" w:sz="4" w:space="0"/>
              <w:right w:val="single" w:color="000000" w:sz="4" w:space="0"/>
            </w:tcBorders>
            <w:vAlign w:val="center"/>
          </w:tcPr>
          <w:p w14:paraId="23492EF0">
            <w:pPr>
              <w:spacing w:after="160"/>
              <w:jc w:val="center"/>
              <w:rPr>
                <w:rFonts w:ascii="仿宋_GB2312" w:eastAsia="仿宋_GB2312"/>
                <w:sz w:val="24"/>
                <w:szCs w:val="24"/>
              </w:rPr>
            </w:pPr>
          </w:p>
        </w:tc>
        <w:tc>
          <w:tcPr>
            <w:tcW w:w="1133" w:type="dxa"/>
            <w:tcBorders>
              <w:top w:val="single" w:color="000000" w:sz="4" w:space="0"/>
              <w:left w:val="single" w:color="000000" w:sz="4" w:space="0"/>
              <w:bottom w:val="single" w:color="auto" w:sz="4" w:space="0"/>
              <w:right w:val="single" w:color="000000" w:sz="4" w:space="0"/>
            </w:tcBorders>
          </w:tcPr>
          <w:p w14:paraId="5814EC23">
            <w:pPr>
              <w:spacing w:after="160"/>
              <w:rPr>
                <w:rFonts w:ascii="仿宋_GB2312" w:eastAsia="仿宋_GB2312"/>
                <w:sz w:val="24"/>
                <w:szCs w:val="24"/>
              </w:rPr>
            </w:pPr>
          </w:p>
        </w:tc>
        <w:tc>
          <w:tcPr>
            <w:tcW w:w="1280" w:type="dxa"/>
            <w:tcBorders>
              <w:top w:val="single" w:color="000000" w:sz="4" w:space="0"/>
              <w:left w:val="single" w:color="000000" w:sz="4" w:space="0"/>
              <w:bottom w:val="single" w:color="auto" w:sz="4" w:space="0"/>
              <w:right w:val="single" w:color="000000" w:sz="4" w:space="0"/>
            </w:tcBorders>
          </w:tcPr>
          <w:p w14:paraId="07DC2157">
            <w:pPr>
              <w:spacing w:after="160"/>
              <w:rPr>
                <w:rFonts w:ascii="仿宋_GB2312" w:eastAsia="仿宋_GB2312"/>
                <w:sz w:val="24"/>
                <w:szCs w:val="24"/>
              </w:rPr>
            </w:pPr>
          </w:p>
        </w:tc>
      </w:tr>
    </w:tbl>
    <w:p w14:paraId="748E5A4D">
      <w:pPr>
        <w:spacing w:before="312" w:beforeLines="100" w:after="188"/>
        <w:rPr>
          <w:rFonts w:ascii="仿宋_GB2312" w:eastAsia="仿宋_GB2312"/>
          <w:b/>
          <w:sz w:val="30"/>
        </w:rPr>
      </w:pPr>
      <w:r>
        <w:rPr>
          <w:sz w:val="30"/>
        </w:rPr>
        <w:t xml:space="preserve"> </w:t>
      </w:r>
      <w:r>
        <w:rPr>
          <w:rFonts w:ascii="仿宋_GB2312" w:eastAsia="仿宋_GB2312"/>
          <w:b/>
          <w:sz w:val="30"/>
        </w:rPr>
        <w:t xml:space="preserve">二、工作液配制 </w:t>
      </w:r>
      <w:r>
        <w:rPr>
          <w:sz w:val="24"/>
        </w:rPr>
        <w:t xml:space="preserve"> </w:t>
      </w:r>
    </w:p>
    <w:tbl>
      <w:tblPr>
        <w:tblStyle w:val="11"/>
        <w:tblW w:w="8529" w:type="dxa"/>
        <w:tblInd w:w="-108" w:type="dxa"/>
        <w:tblLayout w:type="autofit"/>
        <w:tblCellMar>
          <w:top w:w="0" w:type="dxa"/>
          <w:left w:w="108" w:type="dxa"/>
          <w:bottom w:w="0" w:type="dxa"/>
          <w:right w:w="17" w:type="dxa"/>
        </w:tblCellMar>
      </w:tblPr>
      <w:tblGrid>
        <w:gridCol w:w="1682"/>
        <w:gridCol w:w="2235"/>
        <w:gridCol w:w="1724"/>
        <w:gridCol w:w="1549"/>
        <w:gridCol w:w="1339"/>
      </w:tblGrid>
      <w:tr w14:paraId="3F873D15">
        <w:tblPrEx>
          <w:tblCellMar>
            <w:top w:w="0" w:type="dxa"/>
            <w:left w:w="108" w:type="dxa"/>
            <w:bottom w:w="0" w:type="dxa"/>
            <w:right w:w="17" w:type="dxa"/>
          </w:tblCellMar>
        </w:tblPrEx>
        <w:trPr>
          <w:trHeight w:val="554"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289B9667">
            <w:pPr>
              <w:ind w:right="89"/>
              <w:jc w:val="center"/>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2235" w:type="dxa"/>
            <w:tcBorders>
              <w:top w:val="single" w:color="000000" w:sz="4" w:space="0"/>
              <w:left w:val="single" w:color="000000" w:sz="4" w:space="0"/>
              <w:bottom w:val="single" w:color="000000" w:sz="4" w:space="0"/>
              <w:right w:val="single" w:color="000000" w:sz="4" w:space="0"/>
            </w:tcBorders>
            <w:vAlign w:val="center"/>
          </w:tcPr>
          <w:p w14:paraId="1A90E683">
            <w:pPr>
              <w:jc w:val="center"/>
              <w:rPr>
                <w:rFonts w:ascii="仿宋_GB2312" w:eastAsia="仿宋_GB2312"/>
                <w:sz w:val="24"/>
                <w:szCs w:val="24"/>
              </w:rPr>
            </w:pPr>
            <w:r>
              <w:rPr>
                <w:rFonts w:hint="eastAsia" w:ascii="仿宋_GB2312" w:eastAsia="仿宋_GB2312"/>
                <w:sz w:val="24"/>
                <w:szCs w:val="24"/>
              </w:rPr>
              <w:t>配制工作液体积（</w:t>
            </w:r>
            <w:r>
              <w:rPr>
                <w:rFonts w:hint="eastAsia" w:ascii="仿宋_GB2312" w:hAnsi="Calibri" w:eastAsia="仿宋_GB2312" w:cs="Calibri"/>
                <w:sz w:val="24"/>
                <w:szCs w:val="24"/>
              </w:rPr>
              <w:t>ml</w:t>
            </w:r>
            <w:r>
              <w:rPr>
                <w:rFonts w:hint="eastAsia" w:ascii="仿宋_GB2312" w:eastAsia="仿宋_GB2312"/>
                <w:sz w:val="24"/>
                <w:szCs w:val="24"/>
              </w:rPr>
              <w:t>）</w:t>
            </w:r>
          </w:p>
        </w:tc>
        <w:tc>
          <w:tcPr>
            <w:tcW w:w="1724" w:type="dxa"/>
            <w:tcBorders>
              <w:top w:val="single" w:color="000000" w:sz="4" w:space="0"/>
              <w:left w:val="single" w:color="000000" w:sz="4" w:space="0"/>
              <w:bottom w:val="single" w:color="000000" w:sz="4" w:space="0"/>
              <w:right w:val="single" w:color="000000" w:sz="4" w:space="0"/>
            </w:tcBorders>
            <w:vAlign w:val="center"/>
          </w:tcPr>
          <w:p w14:paraId="42AF9574">
            <w:pPr>
              <w:ind w:right="94"/>
              <w:jc w:val="center"/>
              <w:rPr>
                <w:rFonts w:ascii="仿宋_GB2312" w:eastAsia="仿宋_GB2312"/>
                <w:sz w:val="24"/>
                <w:szCs w:val="24"/>
              </w:rPr>
            </w:pPr>
            <w:r>
              <w:rPr>
                <w:rFonts w:hint="eastAsia" w:ascii="仿宋_GB2312" w:eastAsia="仿宋_GB2312"/>
                <w:sz w:val="24"/>
                <w:szCs w:val="24"/>
              </w:rPr>
              <w:t>配制剂量</w:t>
            </w:r>
            <w:r>
              <w:rPr>
                <w:rFonts w:hint="eastAsia" w:ascii="仿宋_GB2312" w:hAnsi="Calibri" w:eastAsia="仿宋_GB2312" w:cs="Calibri"/>
                <w:sz w:val="24"/>
                <w:szCs w:val="24"/>
              </w:rPr>
              <w:t xml:space="preserve"> </w:t>
            </w:r>
          </w:p>
        </w:tc>
        <w:tc>
          <w:tcPr>
            <w:tcW w:w="1549" w:type="dxa"/>
            <w:tcBorders>
              <w:top w:val="single" w:color="000000" w:sz="4" w:space="0"/>
              <w:left w:val="single" w:color="000000" w:sz="4" w:space="0"/>
              <w:bottom w:val="single" w:color="000000" w:sz="4" w:space="0"/>
              <w:right w:val="single" w:color="000000" w:sz="4" w:space="0"/>
            </w:tcBorders>
          </w:tcPr>
          <w:p w14:paraId="515C5055">
            <w:pPr>
              <w:spacing w:after="27"/>
              <w:ind w:left="245"/>
              <w:rPr>
                <w:rFonts w:ascii="仿宋_GB2312" w:eastAsia="仿宋_GB2312"/>
                <w:sz w:val="24"/>
                <w:szCs w:val="24"/>
              </w:rPr>
            </w:pPr>
            <w:r>
              <w:rPr>
                <w:rFonts w:hint="eastAsia" w:ascii="仿宋_GB2312" w:eastAsia="仿宋_GB2312"/>
                <w:sz w:val="24"/>
                <w:szCs w:val="24"/>
              </w:rPr>
              <w:t>理论移取</w:t>
            </w:r>
            <w:r>
              <w:rPr>
                <w:rFonts w:hint="eastAsia" w:ascii="仿宋_GB2312" w:hAnsi="Calibri" w:eastAsia="仿宋_GB2312" w:cs="Calibri"/>
                <w:sz w:val="24"/>
                <w:szCs w:val="24"/>
              </w:rPr>
              <w:t xml:space="preserve"> </w:t>
            </w:r>
          </w:p>
          <w:p w14:paraId="62C559F3">
            <w:pPr>
              <w:ind w:right="92"/>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 xml:space="preserve">(ml) </w:t>
            </w:r>
          </w:p>
        </w:tc>
        <w:tc>
          <w:tcPr>
            <w:tcW w:w="1339" w:type="dxa"/>
            <w:tcBorders>
              <w:top w:val="single" w:color="000000" w:sz="4" w:space="0"/>
              <w:left w:val="single" w:color="000000" w:sz="4" w:space="0"/>
              <w:bottom w:val="single" w:color="000000" w:sz="4" w:space="0"/>
              <w:right w:val="single" w:color="000000" w:sz="4" w:space="0"/>
            </w:tcBorders>
          </w:tcPr>
          <w:p w14:paraId="5EE744A4">
            <w:pPr>
              <w:spacing w:after="27"/>
              <w:ind w:left="142"/>
              <w:rPr>
                <w:rFonts w:ascii="仿宋_GB2312" w:eastAsia="仿宋_GB2312"/>
                <w:sz w:val="24"/>
                <w:szCs w:val="24"/>
              </w:rPr>
            </w:pPr>
            <w:r>
              <w:rPr>
                <w:rFonts w:hint="eastAsia" w:ascii="仿宋_GB2312" w:eastAsia="仿宋_GB2312"/>
                <w:sz w:val="24"/>
                <w:szCs w:val="24"/>
              </w:rPr>
              <w:t>实际移取</w:t>
            </w:r>
            <w:r>
              <w:rPr>
                <w:rFonts w:hint="eastAsia" w:ascii="仿宋_GB2312" w:hAnsi="Calibri" w:eastAsia="仿宋_GB2312" w:cs="Calibri"/>
                <w:sz w:val="24"/>
                <w:szCs w:val="24"/>
              </w:rPr>
              <w:t xml:space="preserve"> </w:t>
            </w:r>
          </w:p>
          <w:p w14:paraId="2A787439">
            <w:pPr>
              <w:ind w:left="74"/>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(ml)</w:t>
            </w:r>
          </w:p>
        </w:tc>
      </w:tr>
      <w:tr w14:paraId="0F2C3EBA">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33095AE5">
            <w:pPr>
              <w:ind w:right="91"/>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2235" w:type="dxa"/>
            <w:vMerge w:val="restart"/>
            <w:tcBorders>
              <w:top w:val="single" w:color="000000" w:sz="4" w:space="0"/>
              <w:left w:val="single" w:color="000000" w:sz="4" w:space="0"/>
              <w:bottom w:val="single" w:color="000000" w:sz="4" w:space="0"/>
              <w:right w:val="single" w:color="000000" w:sz="4" w:space="0"/>
            </w:tcBorders>
            <w:vAlign w:val="center"/>
          </w:tcPr>
          <w:p w14:paraId="706A7838">
            <w:pPr>
              <w:ind w:right="89"/>
              <w:jc w:val="center"/>
              <w:rPr>
                <w:rFonts w:ascii="仿宋_GB2312" w:eastAsia="仿宋_GB2312"/>
                <w:sz w:val="24"/>
                <w:szCs w:val="24"/>
              </w:rPr>
            </w:pPr>
            <w:r>
              <w:rPr>
                <w:rFonts w:hint="eastAsia" w:ascii="仿宋_GB2312" w:hAnsi="Calibri" w:eastAsia="仿宋_GB2312" w:cs="Calibri"/>
                <w:sz w:val="24"/>
                <w:szCs w:val="24"/>
              </w:rPr>
              <w:t xml:space="preserve">1000 </w:t>
            </w:r>
          </w:p>
        </w:tc>
        <w:tc>
          <w:tcPr>
            <w:tcW w:w="1724" w:type="dxa"/>
            <w:tcBorders>
              <w:top w:val="single" w:color="000000" w:sz="4" w:space="0"/>
              <w:left w:val="single" w:color="000000" w:sz="4" w:space="0"/>
              <w:bottom w:val="single" w:color="000000" w:sz="4" w:space="0"/>
              <w:right w:val="single" w:color="000000" w:sz="4" w:space="0"/>
            </w:tcBorders>
          </w:tcPr>
          <w:p w14:paraId="0411265D">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3</m:t>
                    </m:r>
                    <m:ctrlPr>
                      <w:rPr>
                        <w:rFonts w:hint="eastAsia" w:ascii="Cambria Math" w:hAnsi="Cambria Math" w:eastAsia="仿宋_GB2312"/>
                        <w:sz w:val="24"/>
                        <w:szCs w:val="24"/>
                      </w:rPr>
                    </m:ctrlPr>
                  </m:num>
                  <m:den>
                    <m:r>
                      <m:rPr/>
                      <w:rPr>
                        <w:rFonts w:hint="eastAsia" w:ascii="Cambria Math" w:hAnsi="Cambria Math" w:eastAsia="仿宋_GB2312"/>
                        <w:sz w:val="24"/>
                        <w:szCs w:val="24"/>
                      </w:rPr>
                      <m:t>7</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5609A5C1">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0A3EFBF5">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3E912A65">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0A6747AE">
            <w:pPr>
              <w:ind w:right="89"/>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nil"/>
              <w:right w:val="single" w:color="000000" w:sz="4" w:space="0"/>
            </w:tcBorders>
          </w:tcPr>
          <w:p w14:paraId="71B55F5F">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7BAF061C">
            <w:pPr>
              <w:rPr>
                <w:rFonts w:ascii="仿宋_GB2312" w:eastAsia="仿宋_GB2312"/>
                <w:sz w:val="24"/>
                <w:szCs w:val="24"/>
              </w:rPr>
            </w:pPr>
            <m:oMathPara>
              <m:oMathParaPr>
                <m:jc m:val="center"/>
              </m:oMathParaPr>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3</m:t>
                    </m:r>
                    <m:ctrlPr>
                      <w:rPr>
                        <w:rFonts w:hint="eastAsia" w:ascii="Cambria Math" w:hAnsi="Cambria Math" w:eastAsia="仿宋_GB2312"/>
                        <w:sz w:val="24"/>
                        <w:szCs w:val="24"/>
                      </w:rPr>
                    </m:ctrlPr>
                  </m:num>
                  <m:den>
                    <m:r>
                      <m:rPr/>
                      <w:rPr>
                        <w:rFonts w:hint="eastAsia" w:ascii="Cambria Math" w:hAnsi="Cambria Math" w:eastAsia="仿宋_GB2312"/>
                        <w:sz w:val="24"/>
                        <w:szCs w:val="24"/>
                      </w:rPr>
                      <m:t>5</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2B6FC4E2">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3D892521">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0242E212">
        <w:tblPrEx>
          <w:tblCellMar>
            <w:top w:w="0" w:type="dxa"/>
            <w:left w:w="108" w:type="dxa"/>
            <w:bottom w:w="0" w:type="dxa"/>
            <w:right w:w="17" w:type="dxa"/>
          </w:tblCellMar>
        </w:tblPrEx>
        <w:trPr>
          <w:trHeight w:val="653"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1432647B">
            <w:pPr>
              <w:ind w:right="91"/>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single" w:color="000000" w:sz="4" w:space="0"/>
              <w:right w:val="single" w:color="000000" w:sz="4" w:space="0"/>
            </w:tcBorders>
          </w:tcPr>
          <w:p w14:paraId="181C9CD5">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2532661F">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2</m:t>
                    </m:r>
                    <m:ctrlPr>
                      <w:rPr>
                        <w:rFonts w:hint="eastAsia" w:ascii="Cambria Math" w:hAnsi="Cambria Math" w:eastAsia="仿宋_GB2312"/>
                        <w:sz w:val="24"/>
                        <w:szCs w:val="24"/>
                      </w:rPr>
                    </m:ctrlPr>
                  </m:num>
                  <m:den>
                    <m:r>
                      <m:rPr/>
                      <w:rPr>
                        <w:rFonts w:hint="eastAsia" w:ascii="Cambria Math" w:hAnsi="Cambria Math" w:eastAsia="仿宋_GB2312"/>
                        <w:sz w:val="24"/>
                        <w:szCs w:val="24"/>
                      </w:rPr>
                      <m:t>9</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2939FEE4">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4439A917">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bl>
    <w:p w14:paraId="4708B810">
      <w:pPr>
        <w:spacing w:before="312" w:beforeLines="100" w:after="312" w:afterLines="100"/>
        <w:ind w:left="-6" w:hanging="11"/>
        <w:rPr>
          <w:rFonts w:hint="eastAsia" w:ascii="仿宋_GB2312" w:eastAsia="仿宋_GB2312"/>
          <w:b/>
          <w:sz w:val="30"/>
        </w:rPr>
      </w:pPr>
      <w:r>
        <w:rPr>
          <w:rFonts w:hint="eastAsia" w:ascii="仿宋_GB2312" w:eastAsia="仿宋_GB2312"/>
          <w:b/>
          <w:sz w:val="30"/>
        </w:rPr>
        <w:t xml:space="preserve">实际操作结束时间（根据现场钟表填写）：    </w:t>
      </w:r>
    </w:p>
    <w:p w14:paraId="5218ED26">
      <w:pPr>
        <w:spacing w:line="384" w:lineRule="auto"/>
        <w:ind w:right="6888"/>
      </w:pPr>
      <w:r>
        <w:t xml:space="preserve">  </w:t>
      </w:r>
    </w:p>
    <w:p w14:paraId="4853C30C">
      <w:pPr>
        <w:spacing w:after="188"/>
        <w:jc w:val="center"/>
        <w:rPr>
          <w:rFonts w:ascii="方正小标宋简体" w:eastAsia="方正小标宋简体"/>
          <w:sz w:val="36"/>
        </w:rPr>
      </w:pPr>
      <w:r>
        <w:rPr>
          <w:rFonts w:hint="eastAsia" w:ascii="方正小标宋简体" w:eastAsia="方正小标宋简体"/>
          <w:sz w:val="36"/>
          <w:lang w:val="en-US" w:eastAsia="zh-CN"/>
        </w:rPr>
        <w:t>2025年河北省</w:t>
      </w:r>
      <w:r>
        <w:rPr>
          <w:rFonts w:ascii="方正小标宋简体" w:eastAsia="方正小标宋简体"/>
          <w:sz w:val="36"/>
        </w:rPr>
        <w:t>职业院校技能大赛</w:t>
      </w:r>
      <w:r>
        <w:rPr>
          <w:rFonts w:hint="eastAsia" w:ascii="方正小标宋简体" w:eastAsia="方正小标宋简体"/>
          <w:sz w:val="36"/>
        </w:rPr>
        <w:t>植物嫁接</w:t>
      </w:r>
      <w:r>
        <w:rPr>
          <w:rFonts w:ascii="方正小标宋简体" w:eastAsia="方正小标宋简体"/>
          <w:sz w:val="36"/>
        </w:rPr>
        <w:t xml:space="preserve">赛项 </w:t>
      </w:r>
    </w:p>
    <w:p w14:paraId="26E1FD70">
      <w:pPr>
        <w:spacing w:after="188"/>
        <w:jc w:val="center"/>
        <w:rPr>
          <w:rFonts w:ascii="方正小标宋简体" w:eastAsia="方正小标宋简体"/>
          <w:sz w:val="36"/>
        </w:rPr>
      </w:pPr>
      <w:r>
        <w:rPr>
          <w:rFonts w:ascii="方正小标宋简体" w:eastAsia="方正小标宋简体"/>
          <w:sz w:val="36"/>
        </w:rPr>
        <w:t>营养液配制操作试题（</w:t>
      </w:r>
      <w:r>
        <w:rPr>
          <w:rFonts w:hint="eastAsia" w:ascii="方正小标宋简体" w:eastAsia="方正小标宋简体"/>
          <w:sz w:val="36"/>
        </w:rPr>
        <w:t>九</w:t>
      </w:r>
      <w:r>
        <w:rPr>
          <w:rFonts w:ascii="方正小标宋简体" w:eastAsia="方正小标宋简体"/>
          <w:sz w:val="36"/>
        </w:rPr>
        <w:t>）</w:t>
      </w:r>
    </w:p>
    <w:p w14:paraId="3C13F52B">
      <w:pPr>
        <w:spacing w:before="312" w:beforeLines="100" w:after="312" w:afterLines="100"/>
        <w:ind w:left="-6" w:hanging="11"/>
        <w:rPr>
          <w:rFonts w:hint="eastAsia" w:ascii="仿宋_GB2312" w:eastAsia="仿宋_GB2312"/>
          <w:b/>
          <w:sz w:val="30"/>
        </w:rPr>
      </w:pPr>
      <w:r>
        <w:rPr>
          <w:rFonts w:hint="eastAsia" w:ascii="仿宋_GB2312" w:eastAsia="仿宋_GB2312"/>
          <w:b/>
          <w:sz w:val="30"/>
        </w:rPr>
        <w:t xml:space="preserve"> 工位号：                    分数：</w:t>
      </w:r>
    </w:p>
    <w:p w14:paraId="3C9A9A6E">
      <w:pPr>
        <w:spacing w:before="312" w:beforeLines="100" w:after="312" w:afterLines="100"/>
        <w:ind w:left="-6" w:hanging="11"/>
        <w:rPr>
          <w:rFonts w:ascii="仿宋_GB2312" w:eastAsia="仿宋_GB2312"/>
          <w:b/>
        </w:rPr>
      </w:pPr>
      <w:r>
        <w:rPr>
          <w:rFonts w:hint="eastAsia" w:ascii="仿宋_GB2312" w:eastAsia="仿宋_GB2312"/>
          <w:b/>
          <w:sz w:val="30"/>
        </w:rPr>
        <w:t xml:space="preserve">一、母液配制 </w:t>
      </w:r>
    </w:p>
    <w:tbl>
      <w:tblPr>
        <w:tblStyle w:val="11"/>
        <w:tblW w:w="8558" w:type="dxa"/>
        <w:tblInd w:w="-122" w:type="dxa"/>
        <w:tblLayout w:type="autofit"/>
        <w:tblCellMar>
          <w:top w:w="0" w:type="dxa"/>
          <w:left w:w="113" w:type="dxa"/>
          <w:bottom w:w="8" w:type="dxa"/>
          <w:right w:w="55" w:type="dxa"/>
        </w:tblCellMar>
      </w:tblPr>
      <w:tblGrid>
        <w:gridCol w:w="900"/>
        <w:gridCol w:w="1841"/>
        <w:gridCol w:w="1702"/>
        <w:gridCol w:w="708"/>
        <w:gridCol w:w="994"/>
        <w:gridCol w:w="1133"/>
        <w:gridCol w:w="1280"/>
      </w:tblGrid>
      <w:tr w14:paraId="31FDEC38">
        <w:tblPrEx>
          <w:tblCellMar>
            <w:top w:w="0" w:type="dxa"/>
            <w:left w:w="113" w:type="dxa"/>
            <w:bottom w:w="8" w:type="dxa"/>
            <w:right w:w="55" w:type="dxa"/>
          </w:tblCellMar>
        </w:tblPrEx>
        <w:trPr>
          <w:trHeight w:val="811"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47910132">
            <w:pPr>
              <w:ind w:left="127"/>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77B77F5C">
            <w:pPr>
              <w:ind w:right="56"/>
              <w:jc w:val="center"/>
              <w:rPr>
                <w:rFonts w:ascii="仿宋_GB2312" w:eastAsia="仿宋_GB2312"/>
                <w:sz w:val="24"/>
                <w:szCs w:val="24"/>
              </w:rPr>
            </w:pPr>
            <w:r>
              <w:rPr>
                <w:rFonts w:hint="eastAsia" w:ascii="仿宋_GB2312" w:eastAsia="仿宋_GB2312"/>
                <w:sz w:val="24"/>
                <w:szCs w:val="24"/>
              </w:rPr>
              <w:t>成份</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6708947F">
            <w:pPr>
              <w:ind w:left="36"/>
              <w:jc w:val="center"/>
              <w:rPr>
                <w:rFonts w:ascii="仿宋_GB2312" w:eastAsia="仿宋_GB2312"/>
                <w:sz w:val="24"/>
                <w:szCs w:val="24"/>
              </w:rPr>
            </w:pPr>
            <w:r>
              <w:rPr>
                <w:rFonts w:hint="eastAsia" w:ascii="仿宋_GB2312" w:eastAsia="仿宋_GB2312"/>
                <w:sz w:val="24"/>
                <w:szCs w:val="24"/>
              </w:rPr>
              <w:t>标准用量</w:t>
            </w:r>
            <w:r>
              <w:rPr>
                <w:rFonts w:hint="eastAsia" w:ascii="仿宋_GB2312" w:hAnsi="Calibri" w:eastAsia="仿宋_GB2312" w:cs="Calibri"/>
                <w:sz w:val="24"/>
                <w:szCs w:val="24"/>
              </w:rPr>
              <w:t>(mg/L)</w:t>
            </w:r>
          </w:p>
        </w:tc>
        <w:tc>
          <w:tcPr>
            <w:tcW w:w="708" w:type="dxa"/>
            <w:tcBorders>
              <w:top w:val="single" w:color="000000" w:sz="4" w:space="0"/>
              <w:left w:val="single" w:color="000000" w:sz="4" w:space="0"/>
              <w:bottom w:val="single" w:color="000000" w:sz="4" w:space="0"/>
              <w:right w:val="single" w:color="000000" w:sz="4" w:space="0"/>
            </w:tcBorders>
            <w:vAlign w:val="center"/>
          </w:tcPr>
          <w:p w14:paraId="24CB3218">
            <w:pPr>
              <w:jc w:val="center"/>
              <w:rPr>
                <w:rFonts w:ascii="仿宋_GB2312" w:eastAsia="仿宋_GB2312"/>
                <w:sz w:val="24"/>
                <w:szCs w:val="24"/>
              </w:rPr>
            </w:pPr>
            <w:r>
              <w:rPr>
                <w:rFonts w:hint="eastAsia" w:ascii="仿宋_GB2312" w:eastAsia="仿宋_GB2312"/>
                <w:sz w:val="24"/>
                <w:szCs w:val="24"/>
              </w:rPr>
              <w:t>浓缩倍数</w:t>
            </w:r>
            <w:r>
              <w:rPr>
                <w:rFonts w:hint="eastAsia" w:ascii="仿宋_GB2312" w:hAnsi="Calibri" w:eastAsia="仿宋_GB2312" w:cs="Calibri"/>
                <w:sz w:val="24"/>
                <w:szCs w:val="24"/>
              </w:rPr>
              <w:t xml:space="preserve"> </w:t>
            </w:r>
          </w:p>
        </w:tc>
        <w:tc>
          <w:tcPr>
            <w:tcW w:w="994" w:type="dxa"/>
            <w:tcBorders>
              <w:top w:val="single" w:color="000000" w:sz="4" w:space="0"/>
              <w:left w:val="single" w:color="000000" w:sz="4" w:space="0"/>
              <w:bottom w:val="single" w:color="000000" w:sz="4" w:space="0"/>
              <w:right w:val="single" w:color="000000" w:sz="4" w:space="0"/>
            </w:tcBorders>
          </w:tcPr>
          <w:p w14:paraId="70D7D594">
            <w:pPr>
              <w:spacing w:line="255" w:lineRule="auto"/>
              <w:jc w:val="center"/>
              <w:rPr>
                <w:rFonts w:ascii="仿宋_GB2312" w:eastAsia="仿宋_GB2312"/>
                <w:sz w:val="24"/>
                <w:szCs w:val="24"/>
              </w:rPr>
            </w:pPr>
            <w:r>
              <w:rPr>
                <w:rFonts w:hint="eastAsia" w:ascii="仿宋_GB2312" w:eastAsia="仿宋_GB2312"/>
                <w:sz w:val="24"/>
                <w:szCs w:val="24"/>
              </w:rPr>
              <w:t>配制母液体积</w:t>
            </w:r>
          </w:p>
          <w:p w14:paraId="26323D02">
            <w:pPr>
              <w:ind w:right="58"/>
              <w:jc w:val="center"/>
              <w:rPr>
                <w:rFonts w:ascii="仿宋_GB2312" w:eastAsia="仿宋_GB2312"/>
                <w:sz w:val="24"/>
                <w:szCs w:val="24"/>
              </w:rPr>
            </w:pPr>
            <w:r>
              <w:rPr>
                <w:rFonts w:hint="eastAsia" w:ascii="仿宋_GB2312" w:hAnsi="Calibri" w:eastAsia="仿宋_GB2312" w:cs="Calibri"/>
                <w:sz w:val="24"/>
                <w:szCs w:val="24"/>
              </w:rPr>
              <w:t xml:space="preserve">(ml) </w:t>
            </w:r>
          </w:p>
        </w:tc>
        <w:tc>
          <w:tcPr>
            <w:tcW w:w="1133" w:type="dxa"/>
            <w:tcBorders>
              <w:top w:val="single" w:color="000000" w:sz="4" w:space="0"/>
              <w:left w:val="single" w:color="000000" w:sz="4" w:space="0"/>
              <w:bottom w:val="single" w:color="000000" w:sz="4" w:space="0"/>
              <w:right w:val="single" w:color="000000" w:sz="4" w:space="0"/>
            </w:tcBorders>
            <w:vAlign w:val="center"/>
          </w:tcPr>
          <w:p w14:paraId="3223CF30">
            <w:pPr>
              <w:jc w:val="center"/>
              <w:rPr>
                <w:rFonts w:ascii="仿宋_GB2312" w:eastAsia="仿宋_GB2312"/>
                <w:sz w:val="24"/>
                <w:szCs w:val="24"/>
              </w:rPr>
            </w:pPr>
            <w:r>
              <w:rPr>
                <w:rFonts w:hint="eastAsia" w:ascii="仿宋_GB2312" w:eastAsia="仿宋_GB2312"/>
                <w:sz w:val="24"/>
                <w:szCs w:val="24"/>
              </w:rPr>
              <w:t>理论计算值</w:t>
            </w:r>
            <w:r>
              <w:rPr>
                <w:rFonts w:hint="eastAsia" w:ascii="仿宋_GB2312" w:hAnsi="Calibri" w:eastAsia="仿宋_GB2312" w:cs="Calibri"/>
                <w:sz w:val="24"/>
                <w:szCs w:val="24"/>
              </w:rPr>
              <w:t xml:space="preserve">(g) </w:t>
            </w:r>
          </w:p>
        </w:tc>
        <w:tc>
          <w:tcPr>
            <w:tcW w:w="1280" w:type="dxa"/>
            <w:tcBorders>
              <w:top w:val="single" w:color="000000" w:sz="4" w:space="0"/>
              <w:left w:val="single" w:color="000000" w:sz="4" w:space="0"/>
              <w:bottom w:val="single" w:color="000000" w:sz="4" w:space="0"/>
              <w:right w:val="single" w:color="000000" w:sz="4" w:space="0"/>
            </w:tcBorders>
            <w:vAlign w:val="center"/>
          </w:tcPr>
          <w:p w14:paraId="3B58EE98">
            <w:pPr>
              <w:rPr>
                <w:rFonts w:ascii="仿宋_GB2312" w:eastAsia="仿宋_GB2312"/>
                <w:sz w:val="24"/>
                <w:szCs w:val="24"/>
              </w:rPr>
            </w:pPr>
            <w:r>
              <w:rPr>
                <w:rFonts w:hint="eastAsia" w:ascii="仿宋_GB2312" w:eastAsia="仿宋_GB2312"/>
                <w:sz w:val="24"/>
                <w:szCs w:val="24"/>
              </w:rPr>
              <w:t>实际称取值</w:t>
            </w:r>
            <w:r>
              <w:rPr>
                <w:rFonts w:hint="eastAsia" w:ascii="仿宋_GB2312" w:hAnsi="Calibri" w:eastAsia="仿宋_GB2312" w:cs="Calibri"/>
                <w:sz w:val="24"/>
                <w:szCs w:val="24"/>
              </w:rPr>
              <w:t xml:space="preserve">(g) </w:t>
            </w:r>
          </w:p>
        </w:tc>
      </w:tr>
      <w:tr w14:paraId="0791C7DA">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23F255C5">
            <w:pPr>
              <w:ind w:right="58"/>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5D3E0A57">
            <w:pPr>
              <w:ind w:right="55"/>
              <w:jc w:val="center"/>
              <w:rPr>
                <w:rFonts w:ascii="仿宋_GB2312" w:eastAsia="仿宋_GB2312"/>
                <w:sz w:val="24"/>
                <w:szCs w:val="24"/>
              </w:rPr>
            </w:pPr>
            <w:r>
              <w:rPr>
                <w:rFonts w:hint="eastAsia" w:ascii="仿宋_GB2312" w:hAnsi="Calibri" w:eastAsia="仿宋_GB2312" w:cs="Calibri"/>
                <w:sz w:val="24"/>
                <w:szCs w:val="24"/>
              </w:rPr>
              <w:t>Ca(NO</w:t>
            </w:r>
            <w:r>
              <w:rPr>
                <w:rFonts w:hint="eastAsia" w:ascii="仿宋_GB2312" w:hAnsi="Calibri" w:eastAsia="仿宋_GB2312" w:cs="Calibri"/>
                <w:sz w:val="24"/>
                <w:szCs w:val="24"/>
                <w:vertAlign w:val="subscript"/>
              </w:rPr>
              <w:t>3</w:t>
            </w:r>
            <w:r>
              <w:rPr>
                <w:rFonts w:hint="eastAsia" w:ascii="仿宋_GB2312" w:hAnsi="Calibri" w:eastAsia="仿宋_GB2312" w:cs="Calibri"/>
                <w:sz w:val="24"/>
                <w:szCs w:val="24"/>
              </w:rPr>
              <w:t>)</w:t>
            </w:r>
            <w:r>
              <w:rPr>
                <w:rFonts w:hint="eastAsia" w:ascii="仿宋_GB2312" w:hAnsi="Calibri" w:eastAsia="仿宋_GB2312" w:cs="Calibri"/>
                <w:sz w:val="24"/>
                <w:szCs w:val="24"/>
                <w:vertAlign w:val="subscript"/>
              </w:rPr>
              <w:t>2</w:t>
            </w:r>
            <w:r>
              <w:rPr>
                <w:rFonts w:hint="eastAsia"/>
                <w:sz w:val="24"/>
                <w:szCs w:val="24"/>
              </w:rPr>
              <w:t>﹒</w:t>
            </w:r>
            <w:r>
              <w:rPr>
                <w:rFonts w:hint="eastAsia" w:ascii="仿宋_GB2312" w:hAnsi="Calibri" w:eastAsia="仿宋_GB2312" w:cs="Calibri"/>
                <w:sz w:val="24"/>
                <w:szCs w:val="24"/>
              </w:rPr>
              <w:t>4H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000000" w:sz="4" w:space="0"/>
              <w:left w:val="single" w:color="000000" w:sz="4" w:space="0"/>
              <w:bottom w:val="single" w:color="000000" w:sz="4" w:space="0"/>
              <w:right w:val="single" w:color="000000" w:sz="4" w:space="0"/>
            </w:tcBorders>
            <w:vAlign w:val="center"/>
          </w:tcPr>
          <w:p w14:paraId="2E2D006F">
            <w:pPr>
              <w:ind w:right="56"/>
              <w:jc w:val="center"/>
              <w:rPr>
                <w:rFonts w:ascii="仿宋_GB2312" w:eastAsia="仿宋_GB2312"/>
                <w:sz w:val="24"/>
                <w:szCs w:val="24"/>
              </w:rPr>
            </w:pPr>
            <w:r>
              <w:rPr>
                <w:rFonts w:hint="eastAsia" w:ascii="仿宋_GB2312" w:hAnsi="Calibri" w:eastAsia="仿宋_GB2312" w:cs="Calibri"/>
                <w:sz w:val="24"/>
                <w:szCs w:val="24"/>
              </w:rPr>
              <w:t xml:space="preserve">945 </w:t>
            </w:r>
          </w:p>
        </w:tc>
        <w:tc>
          <w:tcPr>
            <w:tcW w:w="708" w:type="dxa"/>
            <w:tcBorders>
              <w:top w:val="single" w:color="000000" w:sz="4" w:space="0"/>
              <w:left w:val="single" w:color="000000" w:sz="4" w:space="0"/>
              <w:bottom w:val="single" w:color="000000" w:sz="4" w:space="0"/>
              <w:right w:val="single" w:color="000000" w:sz="4" w:space="0"/>
            </w:tcBorders>
            <w:vAlign w:val="center"/>
          </w:tcPr>
          <w:p w14:paraId="443D93EB">
            <w:pPr>
              <w:ind w:left="120"/>
              <w:rPr>
                <w:rFonts w:ascii="仿宋_GB2312" w:eastAsia="仿宋_GB2312"/>
                <w:sz w:val="24"/>
                <w:szCs w:val="24"/>
              </w:rPr>
            </w:pPr>
            <w:r>
              <w:rPr>
                <w:rFonts w:hint="eastAsia" w:ascii="仿宋_GB2312" w:hAnsi="Calibri" w:eastAsia="仿宋_GB2312" w:cs="Calibri"/>
                <w:sz w:val="24"/>
                <w:szCs w:val="24"/>
              </w:rPr>
              <w:t xml:space="preserve">35 </w:t>
            </w:r>
          </w:p>
        </w:tc>
        <w:tc>
          <w:tcPr>
            <w:tcW w:w="994" w:type="dxa"/>
            <w:tcBorders>
              <w:top w:val="single" w:color="000000" w:sz="4" w:space="0"/>
              <w:left w:val="single" w:color="000000" w:sz="4" w:space="0"/>
              <w:bottom w:val="single" w:color="000000" w:sz="4" w:space="0"/>
              <w:right w:val="single" w:color="000000" w:sz="4" w:space="0"/>
            </w:tcBorders>
            <w:vAlign w:val="center"/>
          </w:tcPr>
          <w:p w14:paraId="5DCD22F3">
            <w:pPr>
              <w:ind w:right="62"/>
              <w:jc w:val="center"/>
              <w:rPr>
                <w:rFonts w:ascii="仿宋_GB2312" w:eastAsia="仿宋_GB2312"/>
                <w:sz w:val="24"/>
                <w:szCs w:val="24"/>
              </w:rPr>
            </w:pPr>
            <w:r>
              <w:rPr>
                <w:rFonts w:hint="eastAsia" w:ascii="仿宋_GB2312" w:hAnsi="Calibri" w:eastAsia="仿宋_GB2312" w:cs="Calibri"/>
                <w:sz w:val="24"/>
                <w:szCs w:val="24"/>
              </w:rPr>
              <w:t xml:space="preserve">500 </w:t>
            </w:r>
          </w:p>
        </w:tc>
        <w:tc>
          <w:tcPr>
            <w:tcW w:w="1133" w:type="dxa"/>
            <w:tcBorders>
              <w:top w:val="single" w:color="000000" w:sz="4" w:space="0"/>
              <w:left w:val="single" w:color="000000" w:sz="4" w:space="0"/>
              <w:bottom w:val="single" w:color="000000" w:sz="4" w:space="0"/>
              <w:right w:val="single" w:color="000000" w:sz="4" w:space="0"/>
            </w:tcBorders>
            <w:vAlign w:val="center"/>
          </w:tcPr>
          <w:p w14:paraId="10EB0271">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0F223D40">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7F15AB89">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1B512CC0">
            <w:pPr>
              <w:ind w:right="55"/>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11D9F603">
            <w:pPr>
              <w:ind w:right="57"/>
              <w:jc w:val="center"/>
              <w:rPr>
                <w:rFonts w:ascii="仿宋_GB2312" w:eastAsia="仿宋_GB2312"/>
                <w:sz w:val="24"/>
                <w:szCs w:val="24"/>
              </w:rPr>
            </w:pPr>
            <w:r>
              <w:rPr>
                <w:rFonts w:hint="eastAsia" w:ascii="仿宋_GB2312" w:hAnsi="Calibri" w:eastAsia="仿宋_GB2312" w:cs="Calibri"/>
                <w:sz w:val="24"/>
                <w:szCs w:val="24"/>
              </w:rPr>
              <w:t>NH</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PO</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6DA47053">
            <w:pPr>
              <w:ind w:right="56"/>
              <w:jc w:val="center"/>
              <w:rPr>
                <w:rFonts w:ascii="仿宋_GB2312" w:eastAsia="仿宋_GB2312"/>
                <w:sz w:val="24"/>
                <w:szCs w:val="24"/>
              </w:rPr>
            </w:pPr>
            <w:r>
              <w:rPr>
                <w:rFonts w:hint="eastAsia" w:ascii="仿宋_GB2312" w:hAnsi="Calibri" w:eastAsia="仿宋_GB2312" w:cs="Calibri"/>
                <w:sz w:val="24"/>
                <w:szCs w:val="24"/>
              </w:rPr>
              <w:t xml:space="preserve">153 </w:t>
            </w:r>
          </w:p>
        </w:tc>
        <w:tc>
          <w:tcPr>
            <w:tcW w:w="708" w:type="dxa"/>
            <w:tcBorders>
              <w:top w:val="single" w:color="000000" w:sz="4" w:space="0"/>
              <w:left w:val="single" w:color="000000" w:sz="4" w:space="0"/>
              <w:bottom w:val="single" w:color="000000" w:sz="4" w:space="0"/>
              <w:right w:val="single" w:color="000000" w:sz="4" w:space="0"/>
            </w:tcBorders>
            <w:vAlign w:val="center"/>
          </w:tcPr>
          <w:p w14:paraId="558F985A">
            <w:pPr>
              <w:ind w:left="120"/>
              <w:rPr>
                <w:rFonts w:ascii="仿宋_GB2312" w:eastAsia="仿宋_GB2312"/>
                <w:sz w:val="24"/>
                <w:szCs w:val="24"/>
              </w:rPr>
            </w:pPr>
            <w:r>
              <w:rPr>
                <w:rFonts w:hint="eastAsia" w:ascii="仿宋_GB2312" w:hAnsi="Calibri" w:eastAsia="仿宋_GB2312" w:cs="Calibri"/>
                <w:sz w:val="24"/>
                <w:szCs w:val="24"/>
              </w:rPr>
              <w:t xml:space="preserve">75 </w:t>
            </w:r>
          </w:p>
        </w:tc>
        <w:tc>
          <w:tcPr>
            <w:tcW w:w="994" w:type="dxa"/>
            <w:tcBorders>
              <w:top w:val="single" w:color="000000" w:sz="4" w:space="0"/>
              <w:left w:val="single" w:color="000000" w:sz="4" w:space="0"/>
              <w:bottom w:val="single" w:color="000000" w:sz="4" w:space="0"/>
              <w:right w:val="single" w:color="000000" w:sz="4" w:space="0"/>
            </w:tcBorders>
            <w:vAlign w:val="center"/>
          </w:tcPr>
          <w:p w14:paraId="670F2FA6">
            <w:pPr>
              <w:ind w:right="62"/>
              <w:jc w:val="center"/>
              <w:rPr>
                <w:rFonts w:ascii="仿宋_GB2312" w:eastAsia="仿宋_GB2312"/>
                <w:sz w:val="24"/>
                <w:szCs w:val="24"/>
              </w:rPr>
            </w:pPr>
            <w:r>
              <w:rPr>
                <w:rFonts w:hint="eastAsia" w:ascii="仿宋_GB2312" w:hAnsi="Calibri" w:eastAsia="仿宋_GB2312" w:cs="Calibri"/>
                <w:sz w:val="24"/>
                <w:szCs w:val="24"/>
              </w:rPr>
              <w:t xml:space="preserve">250 </w:t>
            </w:r>
          </w:p>
        </w:tc>
        <w:tc>
          <w:tcPr>
            <w:tcW w:w="1133" w:type="dxa"/>
            <w:tcBorders>
              <w:top w:val="single" w:color="000000" w:sz="4" w:space="0"/>
              <w:left w:val="single" w:color="000000" w:sz="4" w:space="0"/>
              <w:bottom w:val="single" w:color="000000" w:sz="4" w:space="0"/>
              <w:right w:val="single" w:color="000000" w:sz="4" w:space="0"/>
            </w:tcBorders>
            <w:vAlign w:val="center"/>
          </w:tcPr>
          <w:p w14:paraId="587267FD">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6BD81C70">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1EDDDCFF">
        <w:tblPrEx>
          <w:tblCellMar>
            <w:top w:w="0" w:type="dxa"/>
            <w:left w:w="113" w:type="dxa"/>
            <w:bottom w:w="8" w:type="dxa"/>
            <w:right w:w="55" w:type="dxa"/>
          </w:tblCellMar>
        </w:tblPrEx>
        <w:trPr>
          <w:trHeight w:val="466" w:hRule="atLeast"/>
        </w:trPr>
        <w:tc>
          <w:tcPr>
            <w:tcW w:w="900" w:type="dxa"/>
            <w:vMerge w:val="restart"/>
            <w:tcBorders>
              <w:top w:val="single" w:color="000000" w:sz="4" w:space="0"/>
              <w:left w:val="single" w:color="000000" w:sz="4" w:space="0"/>
              <w:bottom w:val="nil"/>
              <w:right w:val="single" w:color="000000" w:sz="4" w:space="0"/>
            </w:tcBorders>
            <w:vAlign w:val="center"/>
          </w:tcPr>
          <w:p w14:paraId="6561AA67">
            <w:pPr>
              <w:ind w:right="58"/>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p>
        </w:tc>
        <w:tc>
          <w:tcPr>
            <w:tcW w:w="1841" w:type="dxa"/>
            <w:tcBorders>
              <w:top w:val="single" w:color="000000" w:sz="4" w:space="0"/>
              <w:left w:val="single" w:color="000000" w:sz="4" w:space="0"/>
              <w:bottom w:val="single" w:color="000000" w:sz="4" w:space="0"/>
              <w:right w:val="single" w:color="000000" w:sz="4" w:space="0"/>
            </w:tcBorders>
            <w:vAlign w:val="center"/>
          </w:tcPr>
          <w:p w14:paraId="41AEE5C9">
            <w:pPr>
              <w:ind w:right="55"/>
              <w:jc w:val="center"/>
              <w:rPr>
                <w:rFonts w:ascii="仿宋_GB2312" w:eastAsia="仿宋_GB2312"/>
                <w:sz w:val="24"/>
                <w:szCs w:val="24"/>
              </w:rPr>
            </w:pPr>
            <w:r>
              <w:rPr>
                <w:rFonts w:hint="eastAsia" w:ascii="仿宋_GB2312" w:hAnsi="Calibri" w:eastAsia="仿宋_GB2312" w:cs="Calibri"/>
                <w:sz w:val="24"/>
                <w:szCs w:val="24"/>
              </w:rPr>
              <w:t>FeSO</w:t>
            </w:r>
            <w:r>
              <w:rPr>
                <w:rFonts w:hint="eastAsia" w:ascii="仿宋_GB2312" w:hAnsi="Calibri" w:eastAsia="仿宋_GB2312" w:cs="Calibri"/>
                <w:sz w:val="24"/>
                <w:szCs w:val="24"/>
                <w:vertAlign w:val="subscript"/>
              </w:rPr>
              <w:t>4</w:t>
            </w:r>
            <w:r>
              <w:rPr>
                <w:rFonts w:hint="eastAsia"/>
                <w:sz w:val="24"/>
                <w:szCs w:val="24"/>
              </w:rPr>
              <w:t>﹒</w:t>
            </w:r>
            <w:r>
              <w:rPr>
                <w:rFonts w:hint="eastAsia" w:ascii="仿宋_GB2312" w:hAnsi="Calibri" w:eastAsia="仿宋_GB2312" w:cs="Calibri"/>
                <w:sz w:val="24"/>
                <w:szCs w:val="24"/>
              </w:rPr>
              <w:t>7H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O</w:t>
            </w:r>
          </w:p>
        </w:tc>
        <w:tc>
          <w:tcPr>
            <w:tcW w:w="1702" w:type="dxa"/>
            <w:tcBorders>
              <w:top w:val="single" w:color="000000" w:sz="4" w:space="0"/>
              <w:left w:val="single" w:color="000000" w:sz="4" w:space="0"/>
              <w:bottom w:val="single" w:color="000000" w:sz="4" w:space="0"/>
              <w:right w:val="single" w:color="000000" w:sz="4" w:space="0"/>
            </w:tcBorders>
            <w:vAlign w:val="center"/>
          </w:tcPr>
          <w:p w14:paraId="10EEEEFC">
            <w:pPr>
              <w:ind w:right="57"/>
              <w:jc w:val="center"/>
              <w:rPr>
                <w:rFonts w:ascii="仿宋_GB2312" w:eastAsia="仿宋_GB2312"/>
                <w:sz w:val="24"/>
                <w:szCs w:val="24"/>
              </w:rPr>
            </w:pPr>
            <w:r>
              <w:rPr>
                <w:rFonts w:hint="eastAsia" w:ascii="仿宋_GB2312" w:hAnsi="Calibri" w:eastAsia="仿宋_GB2312" w:cs="Calibri"/>
                <w:sz w:val="24"/>
                <w:szCs w:val="24"/>
              </w:rPr>
              <w:t>13.9</w:t>
            </w:r>
          </w:p>
        </w:tc>
        <w:tc>
          <w:tcPr>
            <w:tcW w:w="708" w:type="dxa"/>
            <w:vMerge w:val="restart"/>
            <w:tcBorders>
              <w:top w:val="single" w:color="000000" w:sz="4" w:space="0"/>
              <w:left w:val="single" w:color="000000" w:sz="4" w:space="0"/>
              <w:bottom w:val="nil"/>
              <w:right w:val="single" w:color="000000" w:sz="4" w:space="0"/>
            </w:tcBorders>
            <w:vAlign w:val="center"/>
          </w:tcPr>
          <w:p w14:paraId="2B3C903E">
            <w:pPr>
              <w:ind w:left="60"/>
              <w:jc w:val="center"/>
              <w:rPr>
                <w:rFonts w:ascii="仿宋_GB2312" w:eastAsia="仿宋_GB2312"/>
                <w:sz w:val="24"/>
                <w:szCs w:val="24"/>
              </w:rPr>
            </w:pPr>
            <w:r>
              <w:rPr>
                <w:rFonts w:hint="eastAsia" w:ascii="仿宋_GB2312" w:hAnsi="Calibri" w:eastAsia="仿宋_GB2312" w:cs="Calibri"/>
                <w:sz w:val="24"/>
                <w:szCs w:val="24"/>
              </w:rPr>
              <w:t>150</w:t>
            </w:r>
          </w:p>
        </w:tc>
        <w:tc>
          <w:tcPr>
            <w:tcW w:w="994" w:type="dxa"/>
            <w:vMerge w:val="restart"/>
            <w:tcBorders>
              <w:top w:val="single" w:color="000000" w:sz="4" w:space="0"/>
              <w:left w:val="single" w:color="000000" w:sz="4" w:space="0"/>
              <w:bottom w:val="nil"/>
              <w:right w:val="single" w:color="000000" w:sz="4" w:space="0"/>
            </w:tcBorders>
            <w:vAlign w:val="center"/>
          </w:tcPr>
          <w:p w14:paraId="65EE4B06">
            <w:pPr>
              <w:ind w:right="62"/>
              <w:jc w:val="center"/>
              <w:rPr>
                <w:rFonts w:ascii="仿宋_GB2312" w:eastAsia="仿宋_GB2312"/>
                <w:sz w:val="24"/>
                <w:szCs w:val="24"/>
              </w:rPr>
            </w:pPr>
            <w:r>
              <w:rPr>
                <w:rFonts w:hint="eastAsia" w:ascii="仿宋_GB2312" w:hAnsi="Calibri" w:eastAsia="仿宋_GB2312" w:cs="Calibri"/>
                <w:sz w:val="24"/>
                <w:szCs w:val="24"/>
              </w:rPr>
              <w:t>100</w:t>
            </w:r>
          </w:p>
        </w:tc>
        <w:tc>
          <w:tcPr>
            <w:tcW w:w="1133" w:type="dxa"/>
            <w:tcBorders>
              <w:top w:val="single" w:color="000000" w:sz="4" w:space="0"/>
              <w:left w:val="single" w:color="000000" w:sz="4" w:space="0"/>
              <w:bottom w:val="single" w:color="000000" w:sz="4" w:space="0"/>
              <w:right w:val="single" w:color="000000" w:sz="4" w:space="0"/>
            </w:tcBorders>
            <w:vAlign w:val="center"/>
          </w:tcPr>
          <w:p w14:paraId="23B7F82A">
            <w:pPr>
              <w:ind w:left="62"/>
              <w:jc w:val="center"/>
              <w:rPr>
                <w:rFonts w:ascii="仿宋_GB2312" w:eastAsia="仿宋_GB2312"/>
                <w:sz w:val="24"/>
                <w:szCs w:val="24"/>
              </w:rPr>
            </w:pPr>
          </w:p>
        </w:tc>
        <w:tc>
          <w:tcPr>
            <w:tcW w:w="1280" w:type="dxa"/>
            <w:tcBorders>
              <w:top w:val="single" w:color="000000" w:sz="4" w:space="0"/>
              <w:left w:val="single" w:color="000000" w:sz="4" w:space="0"/>
              <w:bottom w:val="single" w:color="000000" w:sz="4" w:space="0"/>
              <w:right w:val="single" w:color="000000" w:sz="4" w:space="0"/>
            </w:tcBorders>
            <w:vAlign w:val="center"/>
          </w:tcPr>
          <w:p w14:paraId="0D5202C5">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2747D937">
        <w:tblPrEx>
          <w:tblCellMar>
            <w:top w:w="0" w:type="dxa"/>
            <w:left w:w="113" w:type="dxa"/>
            <w:bottom w:w="8" w:type="dxa"/>
            <w:right w:w="55" w:type="dxa"/>
          </w:tblCellMar>
        </w:tblPrEx>
        <w:trPr>
          <w:trHeight w:val="163" w:hRule="atLeast"/>
        </w:trPr>
        <w:tc>
          <w:tcPr>
            <w:tcW w:w="0" w:type="auto"/>
            <w:vMerge w:val="continue"/>
            <w:tcBorders>
              <w:top w:val="nil"/>
              <w:left w:val="single" w:color="000000" w:sz="4" w:space="0"/>
              <w:bottom w:val="single" w:color="auto" w:sz="4" w:space="0"/>
              <w:right w:val="single" w:color="000000" w:sz="4" w:space="0"/>
            </w:tcBorders>
            <w:vAlign w:val="center"/>
          </w:tcPr>
          <w:p w14:paraId="1C86A9F6">
            <w:pPr>
              <w:spacing w:after="160"/>
              <w:jc w:val="center"/>
              <w:rPr>
                <w:rFonts w:ascii="仿宋_GB2312" w:eastAsia="仿宋_GB2312"/>
                <w:sz w:val="24"/>
                <w:szCs w:val="24"/>
              </w:rPr>
            </w:pPr>
          </w:p>
        </w:tc>
        <w:tc>
          <w:tcPr>
            <w:tcW w:w="1841" w:type="dxa"/>
            <w:tcBorders>
              <w:top w:val="single" w:color="000000" w:sz="4" w:space="0"/>
              <w:left w:val="single" w:color="000000" w:sz="4" w:space="0"/>
              <w:bottom w:val="single" w:color="auto" w:sz="4" w:space="0"/>
              <w:right w:val="single" w:color="000000" w:sz="4" w:space="0"/>
            </w:tcBorders>
            <w:vAlign w:val="center"/>
          </w:tcPr>
          <w:p w14:paraId="252EF03E">
            <w:pPr>
              <w:ind w:right="56"/>
              <w:jc w:val="center"/>
              <w:rPr>
                <w:rFonts w:ascii="仿宋_GB2312" w:eastAsia="仿宋_GB2312"/>
                <w:sz w:val="24"/>
                <w:szCs w:val="24"/>
              </w:rPr>
            </w:pPr>
            <w:r>
              <w:rPr>
                <w:rFonts w:hint="eastAsia" w:ascii="仿宋_GB2312" w:hAnsi="Calibri" w:eastAsia="仿宋_GB2312" w:cs="Calibri"/>
                <w:sz w:val="24"/>
                <w:szCs w:val="24"/>
              </w:rPr>
              <w:t>Na</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-EDTA</w:t>
            </w:r>
          </w:p>
        </w:tc>
        <w:tc>
          <w:tcPr>
            <w:tcW w:w="1702" w:type="dxa"/>
            <w:tcBorders>
              <w:top w:val="single" w:color="000000" w:sz="4" w:space="0"/>
              <w:left w:val="single" w:color="000000" w:sz="4" w:space="0"/>
              <w:bottom w:val="single" w:color="auto" w:sz="4" w:space="0"/>
              <w:right w:val="single" w:color="000000" w:sz="4" w:space="0"/>
            </w:tcBorders>
            <w:vAlign w:val="center"/>
          </w:tcPr>
          <w:p w14:paraId="10C45340">
            <w:pPr>
              <w:ind w:right="57"/>
              <w:jc w:val="center"/>
              <w:rPr>
                <w:rFonts w:ascii="仿宋_GB2312" w:eastAsia="仿宋_GB2312"/>
                <w:sz w:val="24"/>
                <w:szCs w:val="24"/>
              </w:rPr>
            </w:pPr>
            <w:r>
              <w:rPr>
                <w:rFonts w:hint="eastAsia" w:ascii="仿宋_GB2312" w:hAnsi="Calibri" w:eastAsia="仿宋_GB2312" w:cs="Calibri"/>
                <w:sz w:val="24"/>
                <w:szCs w:val="24"/>
              </w:rPr>
              <w:t>18.6</w:t>
            </w:r>
          </w:p>
        </w:tc>
        <w:tc>
          <w:tcPr>
            <w:tcW w:w="0" w:type="auto"/>
            <w:vMerge w:val="continue"/>
            <w:tcBorders>
              <w:top w:val="nil"/>
              <w:left w:val="single" w:color="000000" w:sz="4" w:space="0"/>
              <w:bottom w:val="single" w:color="auto" w:sz="4" w:space="0"/>
              <w:right w:val="single" w:color="000000" w:sz="4" w:space="0"/>
            </w:tcBorders>
            <w:vAlign w:val="center"/>
          </w:tcPr>
          <w:p w14:paraId="1547628C">
            <w:pPr>
              <w:spacing w:after="160"/>
              <w:jc w:val="center"/>
              <w:rPr>
                <w:rFonts w:ascii="仿宋_GB2312" w:eastAsia="仿宋_GB2312"/>
                <w:sz w:val="24"/>
                <w:szCs w:val="24"/>
              </w:rPr>
            </w:pPr>
          </w:p>
        </w:tc>
        <w:tc>
          <w:tcPr>
            <w:tcW w:w="0" w:type="auto"/>
            <w:vMerge w:val="continue"/>
            <w:tcBorders>
              <w:top w:val="nil"/>
              <w:left w:val="single" w:color="000000" w:sz="4" w:space="0"/>
              <w:bottom w:val="single" w:color="auto" w:sz="4" w:space="0"/>
              <w:right w:val="single" w:color="000000" w:sz="4" w:space="0"/>
            </w:tcBorders>
            <w:vAlign w:val="center"/>
          </w:tcPr>
          <w:p w14:paraId="32EB5553">
            <w:pPr>
              <w:spacing w:after="160"/>
              <w:jc w:val="center"/>
              <w:rPr>
                <w:rFonts w:ascii="仿宋_GB2312" w:eastAsia="仿宋_GB2312"/>
                <w:sz w:val="24"/>
                <w:szCs w:val="24"/>
              </w:rPr>
            </w:pPr>
          </w:p>
        </w:tc>
        <w:tc>
          <w:tcPr>
            <w:tcW w:w="1133" w:type="dxa"/>
            <w:tcBorders>
              <w:top w:val="single" w:color="000000" w:sz="4" w:space="0"/>
              <w:left w:val="single" w:color="000000" w:sz="4" w:space="0"/>
              <w:bottom w:val="single" w:color="auto" w:sz="4" w:space="0"/>
              <w:right w:val="single" w:color="000000" w:sz="4" w:space="0"/>
            </w:tcBorders>
            <w:vAlign w:val="center"/>
          </w:tcPr>
          <w:p w14:paraId="01235F40">
            <w:pPr>
              <w:spacing w:after="160"/>
              <w:jc w:val="center"/>
              <w:rPr>
                <w:rFonts w:ascii="仿宋_GB2312" w:eastAsia="仿宋_GB2312"/>
                <w:sz w:val="24"/>
                <w:szCs w:val="24"/>
              </w:rPr>
            </w:pPr>
          </w:p>
        </w:tc>
        <w:tc>
          <w:tcPr>
            <w:tcW w:w="1280" w:type="dxa"/>
            <w:tcBorders>
              <w:top w:val="single" w:color="000000" w:sz="4" w:space="0"/>
              <w:left w:val="single" w:color="000000" w:sz="4" w:space="0"/>
              <w:bottom w:val="single" w:color="auto" w:sz="4" w:space="0"/>
              <w:right w:val="single" w:color="000000" w:sz="4" w:space="0"/>
            </w:tcBorders>
          </w:tcPr>
          <w:p w14:paraId="686C8CA7">
            <w:pPr>
              <w:spacing w:after="160"/>
              <w:rPr>
                <w:rFonts w:ascii="仿宋_GB2312" w:eastAsia="仿宋_GB2312"/>
                <w:sz w:val="24"/>
                <w:szCs w:val="24"/>
              </w:rPr>
            </w:pPr>
          </w:p>
        </w:tc>
      </w:tr>
    </w:tbl>
    <w:p w14:paraId="4EBBE75A">
      <w:pPr>
        <w:spacing w:before="312" w:beforeLines="100" w:after="312" w:afterLines="100"/>
        <w:ind w:left="-6" w:hanging="11"/>
        <w:rPr>
          <w:rFonts w:ascii="仿宋_GB2312" w:eastAsia="仿宋_GB2312"/>
          <w:b/>
          <w:sz w:val="30"/>
        </w:rPr>
      </w:pPr>
      <w:r>
        <w:rPr>
          <w:rFonts w:ascii="仿宋_GB2312" w:eastAsia="仿宋_GB2312"/>
          <w:b/>
          <w:sz w:val="30"/>
        </w:rPr>
        <w:t xml:space="preserve">二、工作液配制 </w:t>
      </w:r>
    </w:p>
    <w:tbl>
      <w:tblPr>
        <w:tblStyle w:val="11"/>
        <w:tblW w:w="8529" w:type="dxa"/>
        <w:tblInd w:w="-108" w:type="dxa"/>
        <w:tblLayout w:type="autofit"/>
        <w:tblCellMar>
          <w:top w:w="0" w:type="dxa"/>
          <w:left w:w="108" w:type="dxa"/>
          <w:bottom w:w="0" w:type="dxa"/>
          <w:right w:w="17" w:type="dxa"/>
        </w:tblCellMar>
      </w:tblPr>
      <w:tblGrid>
        <w:gridCol w:w="1682"/>
        <w:gridCol w:w="2235"/>
        <w:gridCol w:w="1724"/>
        <w:gridCol w:w="1549"/>
        <w:gridCol w:w="1339"/>
      </w:tblGrid>
      <w:tr w14:paraId="1B9E3BA0">
        <w:tblPrEx>
          <w:tblCellMar>
            <w:top w:w="0" w:type="dxa"/>
            <w:left w:w="108" w:type="dxa"/>
            <w:bottom w:w="0" w:type="dxa"/>
            <w:right w:w="17" w:type="dxa"/>
          </w:tblCellMar>
        </w:tblPrEx>
        <w:trPr>
          <w:trHeight w:val="554"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71953802">
            <w:pPr>
              <w:ind w:right="89"/>
              <w:jc w:val="center"/>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2235" w:type="dxa"/>
            <w:tcBorders>
              <w:top w:val="single" w:color="000000" w:sz="4" w:space="0"/>
              <w:left w:val="single" w:color="000000" w:sz="4" w:space="0"/>
              <w:bottom w:val="single" w:color="000000" w:sz="4" w:space="0"/>
              <w:right w:val="single" w:color="000000" w:sz="4" w:space="0"/>
            </w:tcBorders>
            <w:vAlign w:val="center"/>
          </w:tcPr>
          <w:p w14:paraId="600E6A48">
            <w:pPr>
              <w:jc w:val="center"/>
              <w:rPr>
                <w:rFonts w:ascii="仿宋_GB2312" w:eastAsia="仿宋_GB2312"/>
                <w:sz w:val="24"/>
                <w:szCs w:val="24"/>
              </w:rPr>
            </w:pPr>
            <w:r>
              <w:rPr>
                <w:rFonts w:hint="eastAsia" w:ascii="仿宋_GB2312" w:eastAsia="仿宋_GB2312"/>
                <w:sz w:val="24"/>
                <w:szCs w:val="24"/>
              </w:rPr>
              <w:t>配制工作液体积（</w:t>
            </w:r>
            <w:r>
              <w:rPr>
                <w:rFonts w:hint="eastAsia" w:ascii="仿宋_GB2312" w:hAnsi="Calibri" w:eastAsia="仿宋_GB2312" w:cs="Calibri"/>
                <w:sz w:val="24"/>
                <w:szCs w:val="24"/>
              </w:rPr>
              <w:t>ml</w:t>
            </w:r>
            <w:r>
              <w:rPr>
                <w:rFonts w:hint="eastAsia" w:ascii="仿宋_GB2312" w:eastAsia="仿宋_GB2312"/>
                <w:sz w:val="24"/>
                <w:szCs w:val="24"/>
              </w:rPr>
              <w:t>）</w:t>
            </w:r>
          </w:p>
        </w:tc>
        <w:tc>
          <w:tcPr>
            <w:tcW w:w="1724" w:type="dxa"/>
            <w:tcBorders>
              <w:top w:val="single" w:color="000000" w:sz="4" w:space="0"/>
              <w:left w:val="single" w:color="000000" w:sz="4" w:space="0"/>
              <w:bottom w:val="single" w:color="000000" w:sz="4" w:space="0"/>
              <w:right w:val="single" w:color="000000" w:sz="4" w:space="0"/>
            </w:tcBorders>
            <w:vAlign w:val="center"/>
          </w:tcPr>
          <w:p w14:paraId="54C2D079">
            <w:pPr>
              <w:ind w:right="94"/>
              <w:jc w:val="center"/>
              <w:rPr>
                <w:rFonts w:ascii="仿宋_GB2312" w:eastAsia="仿宋_GB2312"/>
                <w:sz w:val="24"/>
                <w:szCs w:val="24"/>
              </w:rPr>
            </w:pPr>
            <w:r>
              <w:rPr>
                <w:rFonts w:hint="eastAsia" w:ascii="仿宋_GB2312" w:eastAsia="仿宋_GB2312"/>
                <w:sz w:val="24"/>
                <w:szCs w:val="24"/>
              </w:rPr>
              <w:t>配制剂量</w:t>
            </w:r>
            <w:r>
              <w:rPr>
                <w:rFonts w:hint="eastAsia" w:ascii="仿宋_GB2312" w:hAnsi="Calibri" w:eastAsia="仿宋_GB2312" w:cs="Calibri"/>
                <w:sz w:val="24"/>
                <w:szCs w:val="24"/>
              </w:rPr>
              <w:t xml:space="preserve"> </w:t>
            </w:r>
          </w:p>
        </w:tc>
        <w:tc>
          <w:tcPr>
            <w:tcW w:w="1549" w:type="dxa"/>
            <w:tcBorders>
              <w:top w:val="single" w:color="000000" w:sz="4" w:space="0"/>
              <w:left w:val="single" w:color="000000" w:sz="4" w:space="0"/>
              <w:bottom w:val="single" w:color="000000" w:sz="4" w:space="0"/>
              <w:right w:val="single" w:color="000000" w:sz="4" w:space="0"/>
            </w:tcBorders>
          </w:tcPr>
          <w:p w14:paraId="546650EF">
            <w:pPr>
              <w:spacing w:after="27"/>
              <w:ind w:left="245"/>
              <w:rPr>
                <w:rFonts w:ascii="仿宋_GB2312" w:eastAsia="仿宋_GB2312"/>
                <w:sz w:val="24"/>
                <w:szCs w:val="24"/>
              </w:rPr>
            </w:pPr>
            <w:r>
              <w:rPr>
                <w:rFonts w:hint="eastAsia" w:ascii="仿宋_GB2312" w:eastAsia="仿宋_GB2312"/>
                <w:sz w:val="24"/>
                <w:szCs w:val="24"/>
              </w:rPr>
              <w:t>理论移取</w:t>
            </w:r>
            <w:r>
              <w:rPr>
                <w:rFonts w:hint="eastAsia" w:ascii="仿宋_GB2312" w:hAnsi="Calibri" w:eastAsia="仿宋_GB2312" w:cs="Calibri"/>
                <w:sz w:val="24"/>
                <w:szCs w:val="24"/>
              </w:rPr>
              <w:t xml:space="preserve"> </w:t>
            </w:r>
          </w:p>
          <w:p w14:paraId="2143B17E">
            <w:pPr>
              <w:ind w:right="92"/>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 xml:space="preserve">(ml) </w:t>
            </w:r>
          </w:p>
        </w:tc>
        <w:tc>
          <w:tcPr>
            <w:tcW w:w="1339" w:type="dxa"/>
            <w:tcBorders>
              <w:top w:val="single" w:color="000000" w:sz="4" w:space="0"/>
              <w:left w:val="single" w:color="000000" w:sz="4" w:space="0"/>
              <w:bottom w:val="single" w:color="000000" w:sz="4" w:space="0"/>
              <w:right w:val="single" w:color="000000" w:sz="4" w:space="0"/>
            </w:tcBorders>
          </w:tcPr>
          <w:p w14:paraId="4DDD3705">
            <w:pPr>
              <w:spacing w:after="27"/>
              <w:ind w:left="142"/>
              <w:rPr>
                <w:rFonts w:ascii="仿宋_GB2312" w:eastAsia="仿宋_GB2312"/>
                <w:sz w:val="24"/>
                <w:szCs w:val="24"/>
              </w:rPr>
            </w:pPr>
            <w:r>
              <w:rPr>
                <w:rFonts w:hint="eastAsia" w:ascii="仿宋_GB2312" w:eastAsia="仿宋_GB2312"/>
                <w:sz w:val="24"/>
                <w:szCs w:val="24"/>
              </w:rPr>
              <w:t>实际移取</w:t>
            </w:r>
            <w:r>
              <w:rPr>
                <w:rFonts w:hint="eastAsia" w:ascii="仿宋_GB2312" w:hAnsi="Calibri" w:eastAsia="仿宋_GB2312" w:cs="Calibri"/>
                <w:sz w:val="24"/>
                <w:szCs w:val="24"/>
              </w:rPr>
              <w:t xml:space="preserve"> </w:t>
            </w:r>
          </w:p>
          <w:p w14:paraId="3D99A454">
            <w:pPr>
              <w:ind w:left="74"/>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(ml)</w:t>
            </w:r>
          </w:p>
        </w:tc>
      </w:tr>
      <w:tr w14:paraId="1A01EFBF">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07EB2C5D">
            <w:pPr>
              <w:ind w:right="91"/>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2235" w:type="dxa"/>
            <w:vMerge w:val="restart"/>
            <w:tcBorders>
              <w:top w:val="single" w:color="000000" w:sz="4" w:space="0"/>
              <w:left w:val="single" w:color="000000" w:sz="4" w:space="0"/>
              <w:bottom w:val="single" w:color="000000" w:sz="4" w:space="0"/>
              <w:right w:val="single" w:color="000000" w:sz="4" w:space="0"/>
            </w:tcBorders>
            <w:vAlign w:val="center"/>
          </w:tcPr>
          <w:p w14:paraId="71541960">
            <w:pPr>
              <w:ind w:right="89"/>
              <w:jc w:val="center"/>
              <w:rPr>
                <w:rFonts w:ascii="仿宋_GB2312" w:eastAsia="仿宋_GB2312"/>
                <w:sz w:val="24"/>
                <w:szCs w:val="24"/>
              </w:rPr>
            </w:pPr>
            <w:r>
              <w:rPr>
                <w:rFonts w:hint="eastAsia" w:ascii="仿宋_GB2312" w:hAnsi="Calibri" w:eastAsia="仿宋_GB2312" w:cs="Calibri"/>
                <w:sz w:val="24"/>
                <w:szCs w:val="24"/>
              </w:rPr>
              <w:t xml:space="preserve">1000 </w:t>
            </w:r>
          </w:p>
        </w:tc>
        <w:tc>
          <w:tcPr>
            <w:tcW w:w="1724" w:type="dxa"/>
            <w:tcBorders>
              <w:top w:val="single" w:color="000000" w:sz="4" w:space="0"/>
              <w:left w:val="single" w:color="000000" w:sz="4" w:space="0"/>
              <w:bottom w:val="single" w:color="000000" w:sz="4" w:space="0"/>
              <w:right w:val="single" w:color="000000" w:sz="4" w:space="0"/>
            </w:tcBorders>
          </w:tcPr>
          <w:p w14:paraId="0090C97A">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3</m:t>
                    </m:r>
                    <m:ctrlPr>
                      <w:rPr>
                        <w:rFonts w:hint="eastAsia" w:ascii="Cambria Math" w:hAnsi="Cambria Math" w:eastAsia="仿宋_GB2312"/>
                        <w:sz w:val="24"/>
                        <w:szCs w:val="24"/>
                      </w:rPr>
                    </m:ctrlPr>
                  </m:num>
                  <m:den>
                    <m:r>
                      <m:rPr/>
                      <w:rPr>
                        <w:rFonts w:hint="eastAsia" w:ascii="Cambria Math" w:hAnsi="Cambria Math" w:eastAsia="仿宋_GB2312"/>
                        <w:sz w:val="24"/>
                        <w:szCs w:val="24"/>
                      </w:rPr>
                      <m:t>7</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284408A6">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351D6071">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1AA50A19">
        <w:tblPrEx>
          <w:tblCellMar>
            <w:top w:w="0" w:type="dxa"/>
            <w:left w:w="108" w:type="dxa"/>
            <w:bottom w:w="0" w:type="dxa"/>
            <w:right w:w="17" w:type="dxa"/>
          </w:tblCellMar>
        </w:tblPrEx>
        <w:trPr>
          <w:trHeight w:val="651"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67486333">
            <w:pPr>
              <w:ind w:right="89"/>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nil"/>
              <w:right w:val="single" w:color="000000" w:sz="4" w:space="0"/>
            </w:tcBorders>
          </w:tcPr>
          <w:p w14:paraId="69C260ED">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4D6BA58E">
            <w:pPr>
              <w:rPr>
                <w:rFonts w:ascii="仿宋_GB2312" w:eastAsia="仿宋_GB2312"/>
                <w:sz w:val="24"/>
                <w:szCs w:val="24"/>
              </w:rPr>
            </w:pPr>
            <m:oMathPara>
              <m:oMathParaPr>
                <m:jc m:val="center"/>
              </m:oMathParaPr>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1</m:t>
                    </m:r>
                    <m:ctrlPr>
                      <w:rPr>
                        <w:rFonts w:hint="eastAsia" w:ascii="Cambria Math" w:hAnsi="Cambria Math" w:eastAsia="仿宋_GB2312"/>
                        <w:sz w:val="24"/>
                        <w:szCs w:val="24"/>
                      </w:rPr>
                    </m:ctrlPr>
                  </m:num>
                  <m:den>
                    <m:r>
                      <m:rPr/>
                      <w:rPr>
                        <w:rFonts w:hint="eastAsia" w:ascii="Cambria Math" w:hAnsi="Cambria Math" w:eastAsia="仿宋_GB2312"/>
                        <w:sz w:val="24"/>
                        <w:szCs w:val="24"/>
                      </w:rPr>
                      <m:t>8</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3A75656A">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05D2EBBF">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5DF1CB63">
        <w:tblPrEx>
          <w:tblCellMar>
            <w:top w:w="0" w:type="dxa"/>
            <w:left w:w="108" w:type="dxa"/>
            <w:bottom w:w="0" w:type="dxa"/>
            <w:right w:w="17" w:type="dxa"/>
          </w:tblCellMar>
        </w:tblPrEx>
        <w:trPr>
          <w:trHeight w:val="653"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37A98E6C">
            <w:pPr>
              <w:ind w:right="91"/>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single" w:color="000000" w:sz="4" w:space="0"/>
              <w:right w:val="single" w:color="000000" w:sz="4" w:space="0"/>
            </w:tcBorders>
          </w:tcPr>
          <w:p w14:paraId="5B10E382">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3B74C1CD">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2</m:t>
                    </m:r>
                    <m:ctrlPr>
                      <w:rPr>
                        <w:rFonts w:hint="eastAsia" w:ascii="Cambria Math" w:hAnsi="Cambria Math" w:eastAsia="仿宋_GB2312"/>
                        <w:sz w:val="24"/>
                        <w:szCs w:val="24"/>
                      </w:rPr>
                    </m:ctrlPr>
                  </m:num>
                  <m:den>
                    <m:r>
                      <m:rPr/>
                      <w:rPr>
                        <w:rFonts w:hint="eastAsia" w:ascii="Cambria Math" w:hAnsi="Cambria Math" w:eastAsia="仿宋_GB2312"/>
                        <w:sz w:val="24"/>
                        <w:szCs w:val="24"/>
                      </w:rPr>
                      <m:t>5</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6DB115CC">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1F7A1FE4">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bl>
    <w:p w14:paraId="188790FA">
      <w:pPr>
        <w:spacing w:before="312" w:beforeLines="100" w:after="312" w:afterLines="100"/>
        <w:ind w:left="-6" w:hanging="11"/>
        <w:rPr>
          <w:rFonts w:hint="eastAsia" w:ascii="仿宋_GB2312" w:eastAsia="仿宋_GB2312"/>
          <w:b/>
          <w:sz w:val="30"/>
        </w:rPr>
      </w:pPr>
      <w:r>
        <w:rPr>
          <w:rFonts w:hint="eastAsia" w:ascii="仿宋_GB2312" w:eastAsia="仿宋_GB2312"/>
          <w:b/>
          <w:sz w:val="30"/>
        </w:rPr>
        <w:t>实际操作结束时间（根据现场钟表填写）：</w:t>
      </w:r>
    </w:p>
    <w:p w14:paraId="2B8E0576">
      <w:pPr>
        <w:ind w:left="-5"/>
      </w:pPr>
    </w:p>
    <w:p w14:paraId="15A87CB7">
      <w:pPr>
        <w:ind w:left="-5"/>
      </w:pPr>
    </w:p>
    <w:p w14:paraId="2E1881AE">
      <w:pPr>
        <w:ind w:left="-5"/>
      </w:pPr>
    </w:p>
    <w:p w14:paraId="612EC9A8">
      <w:pPr>
        <w:spacing w:after="188"/>
        <w:jc w:val="center"/>
        <w:rPr>
          <w:rFonts w:ascii="方正小标宋简体" w:eastAsia="方正小标宋简体"/>
          <w:sz w:val="36"/>
        </w:rPr>
      </w:pPr>
      <w:r>
        <w:rPr>
          <w:rFonts w:hint="eastAsia" w:ascii="方正小标宋简体" w:eastAsia="方正小标宋简体"/>
          <w:sz w:val="36"/>
          <w:lang w:val="en-US" w:eastAsia="zh-CN"/>
        </w:rPr>
        <w:t>2025年河北省</w:t>
      </w:r>
      <w:r>
        <w:rPr>
          <w:rFonts w:ascii="方正小标宋简体" w:eastAsia="方正小标宋简体"/>
          <w:sz w:val="36"/>
        </w:rPr>
        <w:t>职业院校技能大赛</w:t>
      </w:r>
      <w:r>
        <w:rPr>
          <w:rFonts w:hint="eastAsia" w:ascii="方正小标宋简体" w:eastAsia="方正小标宋简体"/>
          <w:sz w:val="36"/>
        </w:rPr>
        <w:t>植物嫁接</w:t>
      </w:r>
      <w:r>
        <w:rPr>
          <w:rFonts w:ascii="方正小标宋简体" w:eastAsia="方正小标宋简体"/>
          <w:sz w:val="36"/>
        </w:rPr>
        <w:t xml:space="preserve">赛项 </w:t>
      </w:r>
    </w:p>
    <w:p w14:paraId="64E48706">
      <w:pPr>
        <w:spacing w:after="188"/>
        <w:jc w:val="center"/>
        <w:rPr>
          <w:rFonts w:ascii="方正小标宋简体" w:eastAsia="方正小标宋简体"/>
          <w:sz w:val="36"/>
        </w:rPr>
      </w:pPr>
      <w:r>
        <w:rPr>
          <w:rFonts w:ascii="方正小标宋简体" w:eastAsia="方正小标宋简体"/>
          <w:sz w:val="36"/>
        </w:rPr>
        <w:t>营养液配制操作试题（</w:t>
      </w:r>
      <w:r>
        <w:rPr>
          <w:rFonts w:hint="eastAsia" w:ascii="方正小标宋简体" w:eastAsia="方正小标宋简体"/>
          <w:sz w:val="36"/>
        </w:rPr>
        <w:t>十</w:t>
      </w:r>
      <w:r>
        <w:rPr>
          <w:rFonts w:ascii="方正小标宋简体" w:eastAsia="方正小标宋简体"/>
          <w:sz w:val="36"/>
        </w:rPr>
        <w:t xml:space="preserve">） </w:t>
      </w:r>
    </w:p>
    <w:p w14:paraId="1F213F2F">
      <w:pPr>
        <w:ind w:left="-5"/>
        <w:rPr>
          <w:rFonts w:ascii="仿宋_GB2312" w:eastAsia="仿宋_GB2312"/>
          <w:b/>
          <w:sz w:val="30"/>
          <w:szCs w:val="30"/>
        </w:rPr>
      </w:pPr>
      <w:r>
        <w:rPr>
          <w:rFonts w:hint="eastAsia" w:ascii="仿宋_GB2312" w:eastAsia="仿宋_GB2312"/>
          <w:b/>
          <w:sz w:val="30"/>
          <w:szCs w:val="30"/>
        </w:rPr>
        <w:t>工位号：                    分数：</w:t>
      </w:r>
    </w:p>
    <w:p w14:paraId="6DD7008C">
      <w:pPr>
        <w:spacing w:before="312" w:beforeLines="100" w:after="312" w:afterLines="100"/>
        <w:ind w:left="-6" w:hanging="11"/>
        <w:rPr>
          <w:rFonts w:ascii="仿宋_GB2312" w:eastAsia="仿宋_GB2312"/>
          <w:b/>
        </w:rPr>
      </w:pPr>
      <w:r>
        <w:rPr>
          <w:rFonts w:hint="eastAsia" w:ascii="仿宋_GB2312" w:eastAsia="仿宋_GB2312"/>
          <w:b/>
          <w:sz w:val="30"/>
        </w:rPr>
        <w:t xml:space="preserve">一、母液配制 </w:t>
      </w:r>
    </w:p>
    <w:tbl>
      <w:tblPr>
        <w:tblStyle w:val="11"/>
        <w:tblW w:w="8558" w:type="dxa"/>
        <w:tblInd w:w="-122" w:type="dxa"/>
        <w:tblLayout w:type="autofit"/>
        <w:tblCellMar>
          <w:top w:w="0" w:type="dxa"/>
          <w:left w:w="113" w:type="dxa"/>
          <w:bottom w:w="8" w:type="dxa"/>
          <w:right w:w="55" w:type="dxa"/>
        </w:tblCellMar>
      </w:tblPr>
      <w:tblGrid>
        <w:gridCol w:w="900"/>
        <w:gridCol w:w="1841"/>
        <w:gridCol w:w="1702"/>
        <w:gridCol w:w="708"/>
        <w:gridCol w:w="994"/>
        <w:gridCol w:w="1133"/>
        <w:gridCol w:w="1280"/>
      </w:tblGrid>
      <w:tr w14:paraId="23589907">
        <w:tblPrEx>
          <w:tblCellMar>
            <w:top w:w="0" w:type="dxa"/>
            <w:left w:w="113" w:type="dxa"/>
            <w:bottom w:w="8" w:type="dxa"/>
            <w:right w:w="55" w:type="dxa"/>
          </w:tblCellMar>
        </w:tblPrEx>
        <w:trPr>
          <w:trHeight w:val="812"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78320705">
            <w:pPr>
              <w:ind w:left="127"/>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6B859516">
            <w:pPr>
              <w:ind w:right="56"/>
              <w:jc w:val="center"/>
              <w:rPr>
                <w:rFonts w:ascii="仿宋_GB2312" w:eastAsia="仿宋_GB2312"/>
                <w:sz w:val="24"/>
                <w:szCs w:val="24"/>
              </w:rPr>
            </w:pPr>
            <w:r>
              <w:rPr>
                <w:rFonts w:hint="eastAsia" w:ascii="仿宋_GB2312" w:eastAsia="仿宋_GB2312"/>
                <w:sz w:val="24"/>
                <w:szCs w:val="24"/>
              </w:rPr>
              <w:t>成份</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61EAC7D1">
            <w:pPr>
              <w:ind w:left="36"/>
              <w:jc w:val="center"/>
              <w:rPr>
                <w:rFonts w:ascii="仿宋_GB2312" w:eastAsia="仿宋_GB2312"/>
                <w:sz w:val="24"/>
                <w:szCs w:val="24"/>
              </w:rPr>
            </w:pPr>
            <w:r>
              <w:rPr>
                <w:rFonts w:hint="eastAsia" w:ascii="仿宋_GB2312" w:eastAsia="仿宋_GB2312"/>
                <w:sz w:val="24"/>
                <w:szCs w:val="24"/>
              </w:rPr>
              <w:t>标准用量</w:t>
            </w:r>
            <w:r>
              <w:rPr>
                <w:rFonts w:hint="eastAsia" w:ascii="仿宋_GB2312" w:hAnsi="Calibri" w:eastAsia="仿宋_GB2312" w:cs="Calibri"/>
                <w:sz w:val="24"/>
                <w:szCs w:val="24"/>
              </w:rPr>
              <w:t>(mg/L)</w:t>
            </w:r>
          </w:p>
        </w:tc>
        <w:tc>
          <w:tcPr>
            <w:tcW w:w="708" w:type="dxa"/>
            <w:tcBorders>
              <w:top w:val="single" w:color="000000" w:sz="4" w:space="0"/>
              <w:left w:val="single" w:color="000000" w:sz="4" w:space="0"/>
              <w:bottom w:val="single" w:color="000000" w:sz="4" w:space="0"/>
              <w:right w:val="single" w:color="000000" w:sz="4" w:space="0"/>
            </w:tcBorders>
            <w:vAlign w:val="center"/>
          </w:tcPr>
          <w:p w14:paraId="2E42491A">
            <w:pPr>
              <w:jc w:val="center"/>
              <w:rPr>
                <w:rFonts w:ascii="仿宋_GB2312" w:eastAsia="仿宋_GB2312"/>
                <w:sz w:val="24"/>
                <w:szCs w:val="24"/>
              </w:rPr>
            </w:pPr>
            <w:r>
              <w:rPr>
                <w:rFonts w:hint="eastAsia" w:ascii="仿宋_GB2312" w:eastAsia="仿宋_GB2312"/>
                <w:sz w:val="24"/>
                <w:szCs w:val="24"/>
              </w:rPr>
              <w:t>浓缩倍数</w:t>
            </w:r>
            <w:r>
              <w:rPr>
                <w:rFonts w:hint="eastAsia" w:ascii="仿宋_GB2312" w:hAnsi="Calibri" w:eastAsia="仿宋_GB2312" w:cs="Calibri"/>
                <w:sz w:val="24"/>
                <w:szCs w:val="24"/>
              </w:rPr>
              <w:t xml:space="preserve"> </w:t>
            </w:r>
          </w:p>
        </w:tc>
        <w:tc>
          <w:tcPr>
            <w:tcW w:w="994" w:type="dxa"/>
            <w:tcBorders>
              <w:top w:val="single" w:color="000000" w:sz="4" w:space="0"/>
              <w:left w:val="single" w:color="000000" w:sz="4" w:space="0"/>
              <w:bottom w:val="single" w:color="000000" w:sz="4" w:space="0"/>
              <w:right w:val="single" w:color="000000" w:sz="4" w:space="0"/>
            </w:tcBorders>
          </w:tcPr>
          <w:p w14:paraId="0BB6F6AF">
            <w:pPr>
              <w:spacing w:line="255" w:lineRule="auto"/>
              <w:jc w:val="center"/>
              <w:rPr>
                <w:rFonts w:ascii="仿宋_GB2312" w:eastAsia="仿宋_GB2312"/>
                <w:sz w:val="24"/>
                <w:szCs w:val="24"/>
              </w:rPr>
            </w:pPr>
            <w:r>
              <w:rPr>
                <w:rFonts w:hint="eastAsia" w:ascii="仿宋_GB2312" w:eastAsia="仿宋_GB2312"/>
                <w:sz w:val="24"/>
                <w:szCs w:val="24"/>
              </w:rPr>
              <w:t>配制母液体积</w:t>
            </w:r>
          </w:p>
          <w:p w14:paraId="47486FB0">
            <w:pPr>
              <w:ind w:right="58"/>
              <w:jc w:val="center"/>
              <w:rPr>
                <w:rFonts w:ascii="仿宋_GB2312" w:eastAsia="仿宋_GB2312"/>
                <w:sz w:val="24"/>
                <w:szCs w:val="24"/>
              </w:rPr>
            </w:pPr>
            <w:r>
              <w:rPr>
                <w:rFonts w:hint="eastAsia" w:ascii="仿宋_GB2312" w:hAnsi="Calibri" w:eastAsia="仿宋_GB2312" w:cs="Calibri"/>
                <w:sz w:val="24"/>
                <w:szCs w:val="24"/>
              </w:rPr>
              <w:t xml:space="preserve">(ml) </w:t>
            </w:r>
          </w:p>
        </w:tc>
        <w:tc>
          <w:tcPr>
            <w:tcW w:w="1133" w:type="dxa"/>
            <w:tcBorders>
              <w:top w:val="single" w:color="000000" w:sz="4" w:space="0"/>
              <w:left w:val="single" w:color="000000" w:sz="4" w:space="0"/>
              <w:bottom w:val="single" w:color="000000" w:sz="4" w:space="0"/>
              <w:right w:val="single" w:color="000000" w:sz="4" w:space="0"/>
            </w:tcBorders>
            <w:vAlign w:val="center"/>
          </w:tcPr>
          <w:p w14:paraId="2788C94E">
            <w:pPr>
              <w:jc w:val="center"/>
              <w:rPr>
                <w:rFonts w:ascii="仿宋_GB2312" w:eastAsia="仿宋_GB2312"/>
                <w:sz w:val="24"/>
                <w:szCs w:val="24"/>
              </w:rPr>
            </w:pPr>
            <w:r>
              <w:rPr>
                <w:rFonts w:hint="eastAsia" w:ascii="仿宋_GB2312" w:eastAsia="仿宋_GB2312"/>
                <w:sz w:val="24"/>
                <w:szCs w:val="24"/>
              </w:rPr>
              <w:t>理论计算值</w:t>
            </w:r>
            <w:r>
              <w:rPr>
                <w:rFonts w:hint="eastAsia" w:ascii="仿宋_GB2312" w:hAnsi="Calibri" w:eastAsia="仿宋_GB2312" w:cs="Calibri"/>
                <w:sz w:val="24"/>
                <w:szCs w:val="24"/>
              </w:rPr>
              <w:t xml:space="preserve">(g) </w:t>
            </w:r>
          </w:p>
        </w:tc>
        <w:tc>
          <w:tcPr>
            <w:tcW w:w="1280" w:type="dxa"/>
            <w:tcBorders>
              <w:top w:val="single" w:color="000000" w:sz="4" w:space="0"/>
              <w:left w:val="single" w:color="000000" w:sz="4" w:space="0"/>
              <w:bottom w:val="single" w:color="000000" w:sz="4" w:space="0"/>
              <w:right w:val="single" w:color="000000" w:sz="4" w:space="0"/>
            </w:tcBorders>
            <w:vAlign w:val="center"/>
          </w:tcPr>
          <w:p w14:paraId="339922EF">
            <w:pPr>
              <w:rPr>
                <w:rFonts w:ascii="仿宋_GB2312" w:eastAsia="仿宋_GB2312"/>
                <w:sz w:val="24"/>
                <w:szCs w:val="24"/>
              </w:rPr>
            </w:pPr>
            <w:r>
              <w:rPr>
                <w:rFonts w:hint="eastAsia" w:ascii="仿宋_GB2312" w:eastAsia="仿宋_GB2312"/>
                <w:sz w:val="24"/>
                <w:szCs w:val="24"/>
              </w:rPr>
              <w:t>实际称取值</w:t>
            </w:r>
            <w:r>
              <w:rPr>
                <w:rFonts w:hint="eastAsia" w:ascii="仿宋_GB2312" w:hAnsi="Calibri" w:eastAsia="仿宋_GB2312" w:cs="Calibri"/>
                <w:sz w:val="24"/>
                <w:szCs w:val="24"/>
              </w:rPr>
              <w:t xml:space="preserve">(g) </w:t>
            </w:r>
          </w:p>
        </w:tc>
      </w:tr>
      <w:tr w14:paraId="325559A4">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413A82F2">
            <w:pPr>
              <w:ind w:right="58"/>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0A7D39D3">
            <w:pPr>
              <w:ind w:right="55"/>
              <w:jc w:val="center"/>
              <w:rPr>
                <w:rFonts w:ascii="仿宋_GB2312" w:eastAsia="仿宋_GB2312"/>
                <w:sz w:val="24"/>
                <w:szCs w:val="24"/>
              </w:rPr>
            </w:pPr>
            <w:r>
              <w:rPr>
                <w:rFonts w:hint="eastAsia" w:ascii="仿宋_GB2312" w:hAnsi="Calibri" w:eastAsia="仿宋_GB2312" w:cs="Calibri"/>
                <w:sz w:val="24"/>
                <w:szCs w:val="24"/>
              </w:rPr>
              <w:t>Ca(NO</w:t>
            </w:r>
            <w:r>
              <w:rPr>
                <w:rFonts w:hint="eastAsia" w:ascii="仿宋_GB2312" w:hAnsi="Calibri" w:eastAsia="仿宋_GB2312" w:cs="Calibri"/>
                <w:sz w:val="24"/>
                <w:szCs w:val="24"/>
                <w:vertAlign w:val="subscript"/>
              </w:rPr>
              <w:t>3</w:t>
            </w:r>
            <w:r>
              <w:rPr>
                <w:rFonts w:hint="eastAsia" w:ascii="仿宋_GB2312" w:hAnsi="Calibri" w:eastAsia="仿宋_GB2312" w:cs="Calibri"/>
                <w:sz w:val="24"/>
                <w:szCs w:val="24"/>
              </w:rPr>
              <w:t>)</w:t>
            </w:r>
            <w:r>
              <w:rPr>
                <w:rFonts w:hint="eastAsia" w:ascii="仿宋_GB2312" w:hAnsi="Calibri" w:eastAsia="仿宋_GB2312" w:cs="Calibri"/>
                <w:sz w:val="24"/>
                <w:szCs w:val="24"/>
                <w:vertAlign w:val="subscript"/>
              </w:rPr>
              <w:t>2</w:t>
            </w:r>
            <w:r>
              <w:rPr>
                <w:rFonts w:hint="eastAsia"/>
                <w:sz w:val="24"/>
                <w:szCs w:val="24"/>
              </w:rPr>
              <w:t>﹒</w:t>
            </w:r>
            <w:r>
              <w:rPr>
                <w:rFonts w:hint="eastAsia" w:ascii="仿宋_GB2312" w:hAnsi="Calibri" w:eastAsia="仿宋_GB2312" w:cs="Calibri"/>
                <w:sz w:val="24"/>
                <w:szCs w:val="24"/>
              </w:rPr>
              <w:t>4H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 xml:space="preserve">O </w:t>
            </w:r>
          </w:p>
        </w:tc>
        <w:tc>
          <w:tcPr>
            <w:tcW w:w="1702" w:type="dxa"/>
            <w:tcBorders>
              <w:top w:val="single" w:color="000000" w:sz="4" w:space="0"/>
              <w:left w:val="single" w:color="000000" w:sz="4" w:space="0"/>
              <w:bottom w:val="single" w:color="000000" w:sz="4" w:space="0"/>
              <w:right w:val="single" w:color="000000" w:sz="4" w:space="0"/>
            </w:tcBorders>
            <w:vAlign w:val="center"/>
          </w:tcPr>
          <w:p w14:paraId="12F195D7">
            <w:pPr>
              <w:ind w:right="56"/>
              <w:jc w:val="center"/>
              <w:rPr>
                <w:rFonts w:ascii="仿宋_GB2312" w:eastAsia="仿宋_GB2312"/>
                <w:sz w:val="24"/>
                <w:szCs w:val="24"/>
              </w:rPr>
            </w:pPr>
            <w:r>
              <w:rPr>
                <w:rFonts w:hint="eastAsia" w:ascii="仿宋_GB2312" w:hAnsi="Calibri" w:eastAsia="仿宋_GB2312" w:cs="Calibri"/>
                <w:sz w:val="24"/>
                <w:szCs w:val="24"/>
              </w:rPr>
              <w:t xml:space="preserve">945 </w:t>
            </w:r>
          </w:p>
        </w:tc>
        <w:tc>
          <w:tcPr>
            <w:tcW w:w="708" w:type="dxa"/>
            <w:tcBorders>
              <w:top w:val="single" w:color="000000" w:sz="4" w:space="0"/>
              <w:left w:val="single" w:color="000000" w:sz="4" w:space="0"/>
              <w:bottom w:val="single" w:color="000000" w:sz="4" w:space="0"/>
              <w:right w:val="single" w:color="000000" w:sz="4" w:space="0"/>
            </w:tcBorders>
            <w:vAlign w:val="center"/>
          </w:tcPr>
          <w:p w14:paraId="1C960A58">
            <w:pPr>
              <w:ind w:left="120"/>
              <w:rPr>
                <w:rFonts w:ascii="仿宋_GB2312" w:eastAsia="仿宋_GB2312"/>
                <w:sz w:val="24"/>
                <w:szCs w:val="24"/>
              </w:rPr>
            </w:pPr>
            <w:r>
              <w:rPr>
                <w:rFonts w:hint="eastAsia" w:ascii="仿宋_GB2312" w:hAnsi="Calibri" w:eastAsia="仿宋_GB2312" w:cs="Calibri"/>
                <w:sz w:val="24"/>
                <w:szCs w:val="24"/>
              </w:rPr>
              <w:t xml:space="preserve">30 </w:t>
            </w:r>
          </w:p>
        </w:tc>
        <w:tc>
          <w:tcPr>
            <w:tcW w:w="994" w:type="dxa"/>
            <w:tcBorders>
              <w:top w:val="single" w:color="000000" w:sz="4" w:space="0"/>
              <w:left w:val="single" w:color="000000" w:sz="4" w:space="0"/>
              <w:bottom w:val="single" w:color="000000" w:sz="4" w:space="0"/>
              <w:right w:val="single" w:color="000000" w:sz="4" w:space="0"/>
            </w:tcBorders>
            <w:vAlign w:val="center"/>
          </w:tcPr>
          <w:p w14:paraId="283B18AE">
            <w:pPr>
              <w:ind w:right="62"/>
              <w:jc w:val="center"/>
              <w:rPr>
                <w:rFonts w:ascii="仿宋_GB2312" w:eastAsia="仿宋_GB2312"/>
                <w:sz w:val="24"/>
                <w:szCs w:val="24"/>
              </w:rPr>
            </w:pPr>
            <w:r>
              <w:rPr>
                <w:rFonts w:hint="eastAsia" w:ascii="仿宋_GB2312" w:hAnsi="Calibri" w:eastAsia="仿宋_GB2312" w:cs="Calibri"/>
                <w:sz w:val="24"/>
                <w:szCs w:val="24"/>
              </w:rPr>
              <w:t xml:space="preserve">500 </w:t>
            </w:r>
          </w:p>
        </w:tc>
        <w:tc>
          <w:tcPr>
            <w:tcW w:w="1133" w:type="dxa"/>
            <w:tcBorders>
              <w:top w:val="single" w:color="000000" w:sz="4" w:space="0"/>
              <w:left w:val="single" w:color="000000" w:sz="4" w:space="0"/>
              <w:bottom w:val="single" w:color="000000" w:sz="4" w:space="0"/>
              <w:right w:val="single" w:color="000000" w:sz="4" w:space="0"/>
            </w:tcBorders>
            <w:vAlign w:val="center"/>
          </w:tcPr>
          <w:p w14:paraId="6B7FD4F1">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011B286B">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65E8F324">
        <w:tblPrEx>
          <w:tblCellMar>
            <w:top w:w="0" w:type="dxa"/>
            <w:left w:w="113" w:type="dxa"/>
            <w:bottom w:w="8" w:type="dxa"/>
            <w:right w:w="55" w:type="dxa"/>
          </w:tblCellMar>
        </w:tblPrEx>
        <w:trPr>
          <w:trHeight w:val="547" w:hRule="atLeast"/>
        </w:trPr>
        <w:tc>
          <w:tcPr>
            <w:tcW w:w="900" w:type="dxa"/>
            <w:tcBorders>
              <w:top w:val="single" w:color="000000" w:sz="4" w:space="0"/>
              <w:left w:val="single" w:color="000000" w:sz="4" w:space="0"/>
              <w:bottom w:val="single" w:color="000000" w:sz="4" w:space="0"/>
              <w:right w:val="single" w:color="000000" w:sz="4" w:space="0"/>
            </w:tcBorders>
            <w:vAlign w:val="center"/>
          </w:tcPr>
          <w:p w14:paraId="4F3BFB4B">
            <w:pPr>
              <w:ind w:right="55"/>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1841" w:type="dxa"/>
            <w:tcBorders>
              <w:top w:val="single" w:color="000000" w:sz="4" w:space="0"/>
              <w:left w:val="single" w:color="000000" w:sz="4" w:space="0"/>
              <w:bottom w:val="single" w:color="000000" w:sz="4" w:space="0"/>
              <w:right w:val="single" w:color="000000" w:sz="4" w:space="0"/>
            </w:tcBorders>
            <w:vAlign w:val="center"/>
          </w:tcPr>
          <w:p w14:paraId="4A57AFA1">
            <w:pPr>
              <w:ind w:right="57"/>
              <w:jc w:val="center"/>
              <w:rPr>
                <w:rFonts w:ascii="仿宋_GB2312" w:eastAsia="仿宋_GB2312"/>
                <w:sz w:val="24"/>
                <w:szCs w:val="24"/>
              </w:rPr>
            </w:pPr>
            <w:r>
              <w:rPr>
                <w:rFonts w:hint="eastAsia" w:ascii="仿宋_GB2312" w:hAnsi="Calibri" w:eastAsia="仿宋_GB2312" w:cs="Calibri"/>
                <w:sz w:val="24"/>
                <w:szCs w:val="24"/>
              </w:rPr>
              <w:t>NH</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PO</w:t>
            </w:r>
            <w:r>
              <w:rPr>
                <w:rFonts w:hint="eastAsia" w:ascii="仿宋_GB2312" w:hAnsi="Calibri" w:eastAsia="仿宋_GB2312" w:cs="Calibri"/>
                <w:sz w:val="24"/>
                <w:szCs w:val="24"/>
                <w:vertAlign w:val="subscript"/>
              </w:rPr>
              <w:t>4</w:t>
            </w:r>
            <w:r>
              <w:rPr>
                <w:rFonts w:hint="eastAsia" w:ascii="仿宋_GB2312" w:hAnsi="Calibri" w:eastAsia="仿宋_GB2312" w:cs="Calibri"/>
                <w:sz w:val="24"/>
                <w:szCs w:val="24"/>
              </w:rPr>
              <w:t xml:space="preserve"> </w:t>
            </w:r>
          </w:p>
        </w:tc>
        <w:tc>
          <w:tcPr>
            <w:tcW w:w="1702" w:type="dxa"/>
            <w:tcBorders>
              <w:top w:val="single" w:color="000000" w:sz="4" w:space="0"/>
              <w:left w:val="single" w:color="000000" w:sz="4" w:space="0"/>
              <w:bottom w:val="single" w:color="000000" w:sz="4" w:space="0"/>
              <w:right w:val="single" w:color="000000" w:sz="4" w:space="0"/>
            </w:tcBorders>
            <w:vAlign w:val="center"/>
          </w:tcPr>
          <w:p w14:paraId="19D1CC19">
            <w:pPr>
              <w:ind w:right="56"/>
              <w:jc w:val="center"/>
              <w:rPr>
                <w:rFonts w:ascii="仿宋_GB2312" w:eastAsia="仿宋_GB2312"/>
                <w:sz w:val="24"/>
                <w:szCs w:val="24"/>
              </w:rPr>
            </w:pPr>
            <w:r>
              <w:rPr>
                <w:rFonts w:hint="eastAsia" w:ascii="仿宋_GB2312" w:hAnsi="Calibri" w:eastAsia="仿宋_GB2312" w:cs="Calibri"/>
                <w:sz w:val="24"/>
                <w:szCs w:val="24"/>
              </w:rPr>
              <w:t xml:space="preserve">153 </w:t>
            </w:r>
          </w:p>
        </w:tc>
        <w:tc>
          <w:tcPr>
            <w:tcW w:w="708" w:type="dxa"/>
            <w:tcBorders>
              <w:top w:val="single" w:color="000000" w:sz="4" w:space="0"/>
              <w:left w:val="single" w:color="000000" w:sz="4" w:space="0"/>
              <w:bottom w:val="single" w:color="000000" w:sz="4" w:space="0"/>
              <w:right w:val="single" w:color="000000" w:sz="4" w:space="0"/>
            </w:tcBorders>
            <w:vAlign w:val="center"/>
          </w:tcPr>
          <w:p w14:paraId="121ACEE1">
            <w:pPr>
              <w:ind w:left="120"/>
              <w:rPr>
                <w:rFonts w:ascii="仿宋_GB2312" w:eastAsia="仿宋_GB2312"/>
                <w:sz w:val="24"/>
                <w:szCs w:val="24"/>
              </w:rPr>
            </w:pPr>
            <w:r>
              <w:rPr>
                <w:rFonts w:hint="eastAsia" w:ascii="仿宋_GB2312" w:hAnsi="Calibri" w:eastAsia="仿宋_GB2312" w:cs="Calibri"/>
                <w:sz w:val="24"/>
                <w:szCs w:val="24"/>
              </w:rPr>
              <w:t>45</w:t>
            </w:r>
          </w:p>
        </w:tc>
        <w:tc>
          <w:tcPr>
            <w:tcW w:w="994" w:type="dxa"/>
            <w:tcBorders>
              <w:top w:val="single" w:color="000000" w:sz="4" w:space="0"/>
              <w:left w:val="single" w:color="000000" w:sz="4" w:space="0"/>
              <w:bottom w:val="single" w:color="000000" w:sz="4" w:space="0"/>
              <w:right w:val="single" w:color="000000" w:sz="4" w:space="0"/>
            </w:tcBorders>
            <w:vAlign w:val="center"/>
          </w:tcPr>
          <w:p w14:paraId="284A8D81">
            <w:pPr>
              <w:ind w:right="62"/>
              <w:jc w:val="center"/>
              <w:rPr>
                <w:rFonts w:ascii="仿宋_GB2312" w:eastAsia="仿宋_GB2312"/>
                <w:sz w:val="24"/>
                <w:szCs w:val="24"/>
              </w:rPr>
            </w:pPr>
            <w:r>
              <w:rPr>
                <w:rFonts w:hint="eastAsia" w:ascii="仿宋_GB2312" w:hAnsi="Calibri" w:eastAsia="仿宋_GB2312" w:cs="Calibri"/>
                <w:sz w:val="24"/>
                <w:szCs w:val="24"/>
              </w:rPr>
              <w:t xml:space="preserve">250 </w:t>
            </w:r>
          </w:p>
        </w:tc>
        <w:tc>
          <w:tcPr>
            <w:tcW w:w="1133" w:type="dxa"/>
            <w:tcBorders>
              <w:top w:val="single" w:color="000000" w:sz="4" w:space="0"/>
              <w:left w:val="single" w:color="000000" w:sz="4" w:space="0"/>
              <w:bottom w:val="single" w:color="000000" w:sz="4" w:space="0"/>
              <w:right w:val="single" w:color="000000" w:sz="4" w:space="0"/>
            </w:tcBorders>
            <w:vAlign w:val="center"/>
          </w:tcPr>
          <w:p w14:paraId="18103E9D">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63887586">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005105CA">
        <w:tblPrEx>
          <w:tblCellMar>
            <w:top w:w="0" w:type="dxa"/>
            <w:left w:w="113" w:type="dxa"/>
            <w:bottom w:w="8" w:type="dxa"/>
            <w:right w:w="55" w:type="dxa"/>
          </w:tblCellMar>
        </w:tblPrEx>
        <w:trPr>
          <w:trHeight w:val="466" w:hRule="atLeast"/>
        </w:trPr>
        <w:tc>
          <w:tcPr>
            <w:tcW w:w="900" w:type="dxa"/>
            <w:vMerge w:val="restart"/>
            <w:tcBorders>
              <w:top w:val="single" w:color="000000" w:sz="4" w:space="0"/>
              <w:left w:val="single" w:color="000000" w:sz="4" w:space="0"/>
              <w:bottom w:val="nil"/>
              <w:right w:val="single" w:color="000000" w:sz="4" w:space="0"/>
            </w:tcBorders>
            <w:vAlign w:val="center"/>
          </w:tcPr>
          <w:p w14:paraId="35CAE6E7">
            <w:pPr>
              <w:ind w:right="58"/>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p>
        </w:tc>
        <w:tc>
          <w:tcPr>
            <w:tcW w:w="1841" w:type="dxa"/>
            <w:tcBorders>
              <w:top w:val="single" w:color="000000" w:sz="4" w:space="0"/>
              <w:left w:val="single" w:color="000000" w:sz="4" w:space="0"/>
              <w:bottom w:val="single" w:color="000000" w:sz="4" w:space="0"/>
              <w:right w:val="single" w:color="000000" w:sz="4" w:space="0"/>
            </w:tcBorders>
            <w:vAlign w:val="center"/>
          </w:tcPr>
          <w:p w14:paraId="24379048">
            <w:pPr>
              <w:ind w:right="55"/>
              <w:jc w:val="center"/>
              <w:rPr>
                <w:rFonts w:ascii="仿宋_GB2312" w:eastAsia="仿宋_GB2312"/>
                <w:sz w:val="24"/>
                <w:szCs w:val="24"/>
              </w:rPr>
            </w:pPr>
            <w:r>
              <w:rPr>
                <w:rFonts w:hint="eastAsia" w:ascii="仿宋_GB2312" w:hAnsi="Calibri" w:eastAsia="仿宋_GB2312" w:cs="Calibri"/>
                <w:sz w:val="24"/>
                <w:szCs w:val="24"/>
              </w:rPr>
              <w:t>FeSO</w:t>
            </w:r>
            <w:r>
              <w:rPr>
                <w:rFonts w:hint="eastAsia" w:ascii="仿宋_GB2312" w:hAnsi="Calibri" w:eastAsia="仿宋_GB2312" w:cs="Calibri"/>
                <w:sz w:val="24"/>
                <w:szCs w:val="24"/>
                <w:vertAlign w:val="subscript"/>
              </w:rPr>
              <w:t>4</w:t>
            </w:r>
            <w:r>
              <w:rPr>
                <w:rFonts w:hint="eastAsia"/>
                <w:sz w:val="24"/>
                <w:szCs w:val="24"/>
              </w:rPr>
              <w:t>﹒</w:t>
            </w:r>
            <w:r>
              <w:rPr>
                <w:rFonts w:hint="eastAsia" w:ascii="仿宋_GB2312" w:hAnsi="Calibri" w:eastAsia="仿宋_GB2312" w:cs="Calibri"/>
                <w:sz w:val="24"/>
                <w:szCs w:val="24"/>
              </w:rPr>
              <w:t>7H</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O</w:t>
            </w:r>
          </w:p>
        </w:tc>
        <w:tc>
          <w:tcPr>
            <w:tcW w:w="1702" w:type="dxa"/>
            <w:tcBorders>
              <w:top w:val="single" w:color="000000" w:sz="4" w:space="0"/>
              <w:left w:val="single" w:color="000000" w:sz="4" w:space="0"/>
              <w:bottom w:val="single" w:color="000000" w:sz="4" w:space="0"/>
              <w:right w:val="single" w:color="000000" w:sz="4" w:space="0"/>
            </w:tcBorders>
            <w:vAlign w:val="center"/>
          </w:tcPr>
          <w:p w14:paraId="4AF28B1E">
            <w:pPr>
              <w:ind w:right="57"/>
              <w:jc w:val="center"/>
              <w:rPr>
                <w:rFonts w:ascii="仿宋_GB2312" w:eastAsia="仿宋_GB2312"/>
                <w:sz w:val="24"/>
                <w:szCs w:val="24"/>
              </w:rPr>
            </w:pPr>
            <w:r>
              <w:rPr>
                <w:rFonts w:hint="eastAsia" w:ascii="仿宋_GB2312" w:hAnsi="Calibri" w:eastAsia="仿宋_GB2312" w:cs="Calibri"/>
                <w:sz w:val="24"/>
                <w:szCs w:val="24"/>
              </w:rPr>
              <w:t>13.9</w:t>
            </w:r>
          </w:p>
        </w:tc>
        <w:tc>
          <w:tcPr>
            <w:tcW w:w="708" w:type="dxa"/>
            <w:vMerge w:val="restart"/>
            <w:tcBorders>
              <w:top w:val="single" w:color="000000" w:sz="4" w:space="0"/>
              <w:left w:val="single" w:color="000000" w:sz="4" w:space="0"/>
              <w:bottom w:val="nil"/>
              <w:right w:val="single" w:color="000000" w:sz="4" w:space="0"/>
            </w:tcBorders>
            <w:vAlign w:val="center"/>
          </w:tcPr>
          <w:p w14:paraId="69287F1A">
            <w:pPr>
              <w:ind w:left="60"/>
              <w:jc w:val="center"/>
              <w:rPr>
                <w:rFonts w:ascii="仿宋_GB2312" w:eastAsia="仿宋_GB2312"/>
                <w:sz w:val="24"/>
                <w:szCs w:val="24"/>
              </w:rPr>
            </w:pPr>
            <w:r>
              <w:rPr>
                <w:rFonts w:hint="eastAsia" w:ascii="仿宋_GB2312" w:hAnsi="Calibri" w:eastAsia="仿宋_GB2312" w:cs="Calibri"/>
                <w:sz w:val="24"/>
                <w:szCs w:val="24"/>
              </w:rPr>
              <w:t>130</w:t>
            </w:r>
          </w:p>
        </w:tc>
        <w:tc>
          <w:tcPr>
            <w:tcW w:w="994" w:type="dxa"/>
            <w:vMerge w:val="restart"/>
            <w:tcBorders>
              <w:top w:val="single" w:color="000000" w:sz="4" w:space="0"/>
              <w:left w:val="single" w:color="000000" w:sz="4" w:space="0"/>
              <w:bottom w:val="nil"/>
              <w:right w:val="single" w:color="000000" w:sz="4" w:space="0"/>
            </w:tcBorders>
            <w:vAlign w:val="center"/>
          </w:tcPr>
          <w:p w14:paraId="12182D38">
            <w:pPr>
              <w:ind w:right="62"/>
              <w:jc w:val="center"/>
              <w:rPr>
                <w:rFonts w:ascii="仿宋_GB2312" w:eastAsia="仿宋_GB2312"/>
                <w:sz w:val="24"/>
                <w:szCs w:val="24"/>
              </w:rPr>
            </w:pPr>
            <w:r>
              <w:rPr>
                <w:rFonts w:hint="eastAsia" w:ascii="仿宋_GB2312" w:hAnsi="Calibri" w:eastAsia="仿宋_GB2312" w:cs="Calibri"/>
                <w:sz w:val="24"/>
                <w:szCs w:val="24"/>
              </w:rPr>
              <w:t>250</w:t>
            </w:r>
          </w:p>
        </w:tc>
        <w:tc>
          <w:tcPr>
            <w:tcW w:w="1133" w:type="dxa"/>
            <w:tcBorders>
              <w:top w:val="single" w:color="000000" w:sz="4" w:space="0"/>
              <w:left w:val="single" w:color="000000" w:sz="4" w:space="0"/>
              <w:bottom w:val="single" w:color="000000" w:sz="4" w:space="0"/>
              <w:right w:val="single" w:color="000000" w:sz="4" w:space="0"/>
            </w:tcBorders>
            <w:vAlign w:val="center"/>
          </w:tcPr>
          <w:p w14:paraId="0056D3BC">
            <w:pPr>
              <w:ind w:left="62"/>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280" w:type="dxa"/>
            <w:tcBorders>
              <w:top w:val="single" w:color="000000" w:sz="4" w:space="0"/>
              <w:left w:val="single" w:color="000000" w:sz="4" w:space="0"/>
              <w:bottom w:val="single" w:color="000000" w:sz="4" w:space="0"/>
              <w:right w:val="single" w:color="000000" w:sz="4" w:space="0"/>
            </w:tcBorders>
            <w:vAlign w:val="center"/>
          </w:tcPr>
          <w:p w14:paraId="10403662">
            <w:pPr>
              <w:ind w:left="60"/>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219B11F6">
        <w:tblPrEx>
          <w:tblCellMar>
            <w:top w:w="0" w:type="dxa"/>
            <w:left w:w="113" w:type="dxa"/>
            <w:bottom w:w="8" w:type="dxa"/>
            <w:right w:w="55" w:type="dxa"/>
          </w:tblCellMar>
        </w:tblPrEx>
        <w:trPr>
          <w:trHeight w:val="163" w:hRule="atLeast"/>
        </w:trPr>
        <w:tc>
          <w:tcPr>
            <w:tcW w:w="0" w:type="auto"/>
            <w:vMerge w:val="continue"/>
            <w:tcBorders>
              <w:top w:val="nil"/>
              <w:left w:val="single" w:color="000000" w:sz="4" w:space="0"/>
              <w:bottom w:val="single" w:color="auto" w:sz="4" w:space="0"/>
              <w:right w:val="single" w:color="000000" w:sz="4" w:space="0"/>
            </w:tcBorders>
            <w:vAlign w:val="center"/>
          </w:tcPr>
          <w:p w14:paraId="0CA55270">
            <w:pPr>
              <w:spacing w:after="160"/>
              <w:jc w:val="center"/>
              <w:rPr>
                <w:rFonts w:ascii="仿宋_GB2312" w:eastAsia="仿宋_GB2312"/>
                <w:sz w:val="24"/>
                <w:szCs w:val="24"/>
              </w:rPr>
            </w:pPr>
          </w:p>
        </w:tc>
        <w:tc>
          <w:tcPr>
            <w:tcW w:w="1841" w:type="dxa"/>
            <w:tcBorders>
              <w:top w:val="single" w:color="000000" w:sz="4" w:space="0"/>
              <w:left w:val="single" w:color="000000" w:sz="4" w:space="0"/>
              <w:bottom w:val="single" w:color="auto" w:sz="4" w:space="0"/>
              <w:right w:val="single" w:color="000000" w:sz="4" w:space="0"/>
            </w:tcBorders>
            <w:vAlign w:val="center"/>
          </w:tcPr>
          <w:p w14:paraId="6D2CDF9E">
            <w:pPr>
              <w:ind w:right="56"/>
              <w:jc w:val="center"/>
              <w:rPr>
                <w:rFonts w:ascii="仿宋_GB2312" w:eastAsia="仿宋_GB2312"/>
                <w:sz w:val="24"/>
                <w:szCs w:val="24"/>
              </w:rPr>
            </w:pPr>
            <w:r>
              <w:rPr>
                <w:rFonts w:hint="eastAsia" w:ascii="仿宋_GB2312" w:hAnsi="Calibri" w:eastAsia="仿宋_GB2312" w:cs="Calibri"/>
                <w:sz w:val="24"/>
                <w:szCs w:val="24"/>
              </w:rPr>
              <w:t>Na</w:t>
            </w:r>
            <w:r>
              <w:rPr>
                <w:rFonts w:hint="eastAsia" w:ascii="仿宋_GB2312" w:hAnsi="Calibri" w:eastAsia="仿宋_GB2312" w:cs="Calibri"/>
                <w:sz w:val="24"/>
                <w:szCs w:val="24"/>
                <w:vertAlign w:val="subscript"/>
              </w:rPr>
              <w:t>2</w:t>
            </w:r>
            <w:r>
              <w:rPr>
                <w:rFonts w:hint="eastAsia" w:ascii="仿宋_GB2312" w:hAnsi="Calibri" w:eastAsia="仿宋_GB2312" w:cs="Calibri"/>
                <w:sz w:val="24"/>
                <w:szCs w:val="24"/>
              </w:rPr>
              <w:t>-EDTA</w:t>
            </w:r>
          </w:p>
        </w:tc>
        <w:tc>
          <w:tcPr>
            <w:tcW w:w="1702" w:type="dxa"/>
            <w:tcBorders>
              <w:top w:val="single" w:color="000000" w:sz="4" w:space="0"/>
              <w:left w:val="single" w:color="000000" w:sz="4" w:space="0"/>
              <w:bottom w:val="single" w:color="auto" w:sz="4" w:space="0"/>
              <w:right w:val="single" w:color="000000" w:sz="4" w:space="0"/>
            </w:tcBorders>
            <w:vAlign w:val="center"/>
          </w:tcPr>
          <w:p w14:paraId="1DEFDCC4">
            <w:pPr>
              <w:ind w:right="57"/>
              <w:jc w:val="center"/>
              <w:rPr>
                <w:rFonts w:ascii="仿宋_GB2312" w:eastAsia="仿宋_GB2312"/>
                <w:sz w:val="24"/>
                <w:szCs w:val="24"/>
              </w:rPr>
            </w:pPr>
            <w:r>
              <w:rPr>
                <w:rFonts w:hint="eastAsia" w:ascii="仿宋_GB2312" w:hAnsi="Calibri" w:eastAsia="仿宋_GB2312" w:cs="Calibri"/>
                <w:sz w:val="24"/>
                <w:szCs w:val="24"/>
              </w:rPr>
              <w:t>18.6</w:t>
            </w:r>
          </w:p>
        </w:tc>
        <w:tc>
          <w:tcPr>
            <w:tcW w:w="0" w:type="auto"/>
            <w:vMerge w:val="continue"/>
            <w:tcBorders>
              <w:top w:val="nil"/>
              <w:left w:val="single" w:color="000000" w:sz="4" w:space="0"/>
              <w:bottom w:val="single" w:color="auto" w:sz="4" w:space="0"/>
              <w:right w:val="single" w:color="000000" w:sz="4" w:space="0"/>
            </w:tcBorders>
            <w:vAlign w:val="center"/>
          </w:tcPr>
          <w:p w14:paraId="20BDA9B9">
            <w:pPr>
              <w:spacing w:after="160"/>
              <w:jc w:val="center"/>
              <w:rPr>
                <w:rFonts w:ascii="仿宋_GB2312" w:eastAsia="仿宋_GB2312"/>
                <w:sz w:val="24"/>
                <w:szCs w:val="24"/>
              </w:rPr>
            </w:pPr>
          </w:p>
        </w:tc>
        <w:tc>
          <w:tcPr>
            <w:tcW w:w="0" w:type="auto"/>
            <w:vMerge w:val="continue"/>
            <w:tcBorders>
              <w:top w:val="nil"/>
              <w:left w:val="single" w:color="000000" w:sz="4" w:space="0"/>
              <w:bottom w:val="single" w:color="auto" w:sz="4" w:space="0"/>
              <w:right w:val="single" w:color="000000" w:sz="4" w:space="0"/>
            </w:tcBorders>
            <w:vAlign w:val="center"/>
          </w:tcPr>
          <w:p w14:paraId="673E6A32">
            <w:pPr>
              <w:spacing w:after="160"/>
              <w:jc w:val="center"/>
              <w:rPr>
                <w:rFonts w:ascii="仿宋_GB2312" w:eastAsia="仿宋_GB2312"/>
                <w:sz w:val="24"/>
                <w:szCs w:val="24"/>
              </w:rPr>
            </w:pPr>
          </w:p>
        </w:tc>
        <w:tc>
          <w:tcPr>
            <w:tcW w:w="1133" w:type="dxa"/>
            <w:tcBorders>
              <w:top w:val="single" w:color="000000" w:sz="4" w:space="0"/>
              <w:left w:val="single" w:color="000000" w:sz="4" w:space="0"/>
              <w:bottom w:val="single" w:color="auto" w:sz="4" w:space="0"/>
              <w:right w:val="single" w:color="000000" w:sz="4" w:space="0"/>
            </w:tcBorders>
          </w:tcPr>
          <w:p w14:paraId="1772EC2A">
            <w:pPr>
              <w:spacing w:after="160"/>
              <w:rPr>
                <w:rFonts w:ascii="仿宋_GB2312" w:eastAsia="仿宋_GB2312"/>
                <w:sz w:val="24"/>
                <w:szCs w:val="24"/>
              </w:rPr>
            </w:pPr>
          </w:p>
        </w:tc>
        <w:tc>
          <w:tcPr>
            <w:tcW w:w="1280" w:type="dxa"/>
            <w:tcBorders>
              <w:top w:val="single" w:color="000000" w:sz="4" w:space="0"/>
              <w:left w:val="single" w:color="000000" w:sz="4" w:space="0"/>
              <w:bottom w:val="single" w:color="auto" w:sz="4" w:space="0"/>
              <w:right w:val="single" w:color="000000" w:sz="4" w:space="0"/>
            </w:tcBorders>
          </w:tcPr>
          <w:p w14:paraId="2B1E61BC">
            <w:pPr>
              <w:spacing w:after="160"/>
              <w:rPr>
                <w:rFonts w:ascii="仿宋_GB2312" w:eastAsia="仿宋_GB2312"/>
                <w:sz w:val="24"/>
                <w:szCs w:val="24"/>
              </w:rPr>
            </w:pPr>
          </w:p>
        </w:tc>
      </w:tr>
    </w:tbl>
    <w:p w14:paraId="3BCC7DEC">
      <w:pPr>
        <w:spacing w:before="312" w:beforeLines="100" w:after="312" w:afterLines="100"/>
        <w:ind w:left="-6" w:hanging="11"/>
        <w:rPr>
          <w:rFonts w:ascii="仿宋_GB2312" w:eastAsia="仿宋_GB2312"/>
          <w:b/>
          <w:sz w:val="30"/>
        </w:rPr>
      </w:pPr>
      <w:r>
        <w:rPr>
          <w:rFonts w:ascii="仿宋_GB2312" w:eastAsia="仿宋_GB2312"/>
          <w:b/>
          <w:sz w:val="30"/>
        </w:rPr>
        <w:t xml:space="preserve">二、工作液配制 </w:t>
      </w:r>
    </w:p>
    <w:tbl>
      <w:tblPr>
        <w:tblStyle w:val="11"/>
        <w:tblW w:w="8529" w:type="dxa"/>
        <w:tblInd w:w="-108" w:type="dxa"/>
        <w:tblLayout w:type="autofit"/>
        <w:tblCellMar>
          <w:top w:w="0" w:type="dxa"/>
          <w:left w:w="108" w:type="dxa"/>
          <w:bottom w:w="0" w:type="dxa"/>
          <w:right w:w="17" w:type="dxa"/>
        </w:tblCellMar>
      </w:tblPr>
      <w:tblGrid>
        <w:gridCol w:w="1682"/>
        <w:gridCol w:w="2235"/>
        <w:gridCol w:w="1724"/>
        <w:gridCol w:w="1549"/>
        <w:gridCol w:w="1339"/>
      </w:tblGrid>
      <w:tr w14:paraId="702D7F86">
        <w:tblPrEx>
          <w:tblCellMar>
            <w:top w:w="0" w:type="dxa"/>
            <w:left w:w="108" w:type="dxa"/>
            <w:bottom w:w="0" w:type="dxa"/>
            <w:right w:w="17" w:type="dxa"/>
          </w:tblCellMar>
        </w:tblPrEx>
        <w:trPr>
          <w:trHeight w:val="554"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082BFF31">
            <w:pPr>
              <w:ind w:right="89"/>
              <w:jc w:val="center"/>
              <w:rPr>
                <w:rFonts w:ascii="仿宋_GB2312" w:eastAsia="仿宋_GB2312"/>
                <w:sz w:val="24"/>
                <w:szCs w:val="24"/>
              </w:rPr>
            </w:pPr>
            <w:r>
              <w:rPr>
                <w:rFonts w:hint="eastAsia" w:ascii="仿宋_GB2312" w:eastAsia="仿宋_GB2312"/>
                <w:sz w:val="24"/>
                <w:szCs w:val="24"/>
              </w:rPr>
              <w:t>母液</w:t>
            </w:r>
            <w:r>
              <w:rPr>
                <w:rFonts w:hint="eastAsia" w:ascii="仿宋_GB2312" w:hAnsi="Calibri" w:eastAsia="仿宋_GB2312" w:cs="Calibri"/>
                <w:sz w:val="24"/>
                <w:szCs w:val="24"/>
              </w:rPr>
              <w:t xml:space="preserve"> </w:t>
            </w:r>
          </w:p>
        </w:tc>
        <w:tc>
          <w:tcPr>
            <w:tcW w:w="2235" w:type="dxa"/>
            <w:tcBorders>
              <w:top w:val="single" w:color="000000" w:sz="4" w:space="0"/>
              <w:left w:val="single" w:color="000000" w:sz="4" w:space="0"/>
              <w:bottom w:val="single" w:color="000000" w:sz="4" w:space="0"/>
              <w:right w:val="single" w:color="000000" w:sz="4" w:space="0"/>
            </w:tcBorders>
            <w:vAlign w:val="center"/>
          </w:tcPr>
          <w:p w14:paraId="5616F61E">
            <w:pPr>
              <w:jc w:val="center"/>
              <w:rPr>
                <w:rFonts w:ascii="仿宋_GB2312" w:eastAsia="仿宋_GB2312"/>
                <w:sz w:val="24"/>
                <w:szCs w:val="24"/>
              </w:rPr>
            </w:pPr>
            <w:r>
              <w:rPr>
                <w:rFonts w:hint="eastAsia" w:ascii="仿宋_GB2312" w:eastAsia="仿宋_GB2312"/>
                <w:sz w:val="24"/>
                <w:szCs w:val="24"/>
              </w:rPr>
              <w:t>配制工作液体积（</w:t>
            </w:r>
            <w:r>
              <w:rPr>
                <w:rFonts w:hint="eastAsia" w:ascii="仿宋_GB2312" w:hAnsi="Calibri" w:eastAsia="仿宋_GB2312" w:cs="Calibri"/>
                <w:sz w:val="24"/>
                <w:szCs w:val="24"/>
              </w:rPr>
              <w:t>ml</w:t>
            </w:r>
            <w:r>
              <w:rPr>
                <w:rFonts w:hint="eastAsia" w:ascii="仿宋_GB2312" w:eastAsia="仿宋_GB2312"/>
                <w:sz w:val="24"/>
                <w:szCs w:val="24"/>
              </w:rPr>
              <w:t>）</w:t>
            </w:r>
          </w:p>
        </w:tc>
        <w:tc>
          <w:tcPr>
            <w:tcW w:w="1724" w:type="dxa"/>
            <w:tcBorders>
              <w:top w:val="single" w:color="000000" w:sz="4" w:space="0"/>
              <w:left w:val="single" w:color="000000" w:sz="4" w:space="0"/>
              <w:bottom w:val="single" w:color="000000" w:sz="4" w:space="0"/>
              <w:right w:val="single" w:color="000000" w:sz="4" w:space="0"/>
            </w:tcBorders>
            <w:vAlign w:val="center"/>
          </w:tcPr>
          <w:p w14:paraId="0AF71C4A">
            <w:pPr>
              <w:ind w:right="94"/>
              <w:jc w:val="center"/>
              <w:rPr>
                <w:rFonts w:ascii="仿宋_GB2312" w:eastAsia="仿宋_GB2312"/>
                <w:sz w:val="24"/>
                <w:szCs w:val="24"/>
              </w:rPr>
            </w:pPr>
            <w:r>
              <w:rPr>
                <w:rFonts w:hint="eastAsia" w:ascii="仿宋_GB2312" w:eastAsia="仿宋_GB2312"/>
                <w:sz w:val="24"/>
                <w:szCs w:val="24"/>
              </w:rPr>
              <w:t>配制剂量</w:t>
            </w:r>
            <w:r>
              <w:rPr>
                <w:rFonts w:hint="eastAsia" w:ascii="仿宋_GB2312" w:hAnsi="Calibri" w:eastAsia="仿宋_GB2312" w:cs="Calibri"/>
                <w:sz w:val="24"/>
                <w:szCs w:val="24"/>
              </w:rPr>
              <w:t xml:space="preserve"> </w:t>
            </w:r>
          </w:p>
        </w:tc>
        <w:tc>
          <w:tcPr>
            <w:tcW w:w="1549" w:type="dxa"/>
            <w:tcBorders>
              <w:top w:val="single" w:color="000000" w:sz="4" w:space="0"/>
              <w:left w:val="single" w:color="000000" w:sz="4" w:space="0"/>
              <w:bottom w:val="single" w:color="000000" w:sz="4" w:space="0"/>
              <w:right w:val="single" w:color="000000" w:sz="4" w:space="0"/>
            </w:tcBorders>
          </w:tcPr>
          <w:p w14:paraId="60F28154">
            <w:pPr>
              <w:spacing w:after="27"/>
              <w:ind w:left="245"/>
              <w:rPr>
                <w:rFonts w:ascii="仿宋_GB2312" w:eastAsia="仿宋_GB2312"/>
                <w:sz w:val="24"/>
                <w:szCs w:val="24"/>
              </w:rPr>
            </w:pPr>
            <w:r>
              <w:rPr>
                <w:rFonts w:hint="eastAsia" w:ascii="仿宋_GB2312" w:eastAsia="仿宋_GB2312"/>
                <w:sz w:val="24"/>
                <w:szCs w:val="24"/>
              </w:rPr>
              <w:t>理论移取</w:t>
            </w:r>
            <w:r>
              <w:rPr>
                <w:rFonts w:hint="eastAsia" w:ascii="仿宋_GB2312" w:hAnsi="Calibri" w:eastAsia="仿宋_GB2312" w:cs="Calibri"/>
                <w:sz w:val="24"/>
                <w:szCs w:val="24"/>
              </w:rPr>
              <w:t xml:space="preserve"> </w:t>
            </w:r>
          </w:p>
          <w:p w14:paraId="2242EFE1">
            <w:pPr>
              <w:ind w:right="92"/>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 xml:space="preserve">(ml) </w:t>
            </w:r>
          </w:p>
        </w:tc>
        <w:tc>
          <w:tcPr>
            <w:tcW w:w="1339" w:type="dxa"/>
            <w:tcBorders>
              <w:top w:val="single" w:color="000000" w:sz="4" w:space="0"/>
              <w:left w:val="single" w:color="000000" w:sz="4" w:space="0"/>
              <w:bottom w:val="single" w:color="000000" w:sz="4" w:space="0"/>
              <w:right w:val="single" w:color="000000" w:sz="4" w:space="0"/>
            </w:tcBorders>
          </w:tcPr>
          <w:p w14:paraId="36A1A694">
            <w:pPr>
              <w:spacing w:after="27"/>
              <w:ind w:left="142"/>
              <w:rPr>
                <w:rFonts w:ascii="仿宋_GB2312" w:eastAsia="仿宋_GB2312"/>
                <w:sz w:val="24"/>
                <w:szCs w:val="24"/>
              </w:rPr>
            </w:pPr>
            <w:r>
              <w:rPr>
                <w:rFonts w:hint="eastAsia" w:ascii="仿宋_GB2312" w:eastAsia="仿宋_GB2312"/>
                <w:sz w:val="24"/>
                <w:szCs w:val="24"/>
              </w:rPr>
              <w:t>实际移取</w:t>
            </w:r>
            <w:r>
              <w:rPr>
                <w:rFonts w:hint="eastAsia" w:ascii="仿宋_GB2312" w:hAnsi="Calibri" w:eastAsia="仿宋_GB2312" w:cs="Calibri"/>
                <w:sz w:val="24"/>
                <w:szCs w:val="24"/>
              </w:rPr>
              <w:t xml:space="preserve"> </w:t>
            </w:r>
          </w:p>
          <w:p w14:paraId="3DD8EDD2">
            <w:pPr>
              <w:ind w:left="74"/>
              <w:jc w:val="center"/>
              <w:rPr>
                <w:rFonts w:ascii="仿宋_GB2312" w:eastAsia="仿宋_GB2312"/>
                <w:sz w:val="24"/>
                <w:szCs w:val="24"/>
              </w:rPr>
            </w:pPr>
            <w:r>
              <w:rPr>
                <w:rFonts w:hint="eastAsia" w:ascii="仿宋_GB2312" w:eastAsia="仿宋_GB2312"/>
                <w:sz w:val="24"/>
                <w:szCs w:val="24"/>
              </w:rPr>
              <w:t>母液量</w:t>
            </w:r>
            <w:r>
              <w:rPr>
                <w:rFonts w:hint="eastAsia" w:ascii="仿宋_GB2312" w:hAnsi="Calibri" w:eastAsia="仿宋_GB2312" w:cs="Calibri"/>
                <w:sz w:val="24"/>
                <w:szCs w:val="24"/>
              </w:rPr>
              <w:t>(ml)</w:t>
            </w:r>
          </w:p>
        </w:tc>
      </w:tr>
      <w:tr w14:paraId="251ADFE1">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678870FE">
            <w:pPr>
              <w:ind w:right="91"/>
              <w:jc w:val="center"/>
              <w:rPr>
                <w:rFonts w:ascii="仿宋_GB2312" w:eastAsia="仿宋_GB2312"/>
                <w:sz w:val="24"/>
                <w:szCs w:val="24"/>
              </w:rPr>
            </w:pPr>
            <w:r>
              <w:rPr>
                <w:rFonts w:hint="eastAsia" w:ascii="仿宋_GB2312" w:hAnsi="Calibri" w:eastAsia="仿宋_GB2312" w:cs="Calibri"/>
                <w:sz w:val="24"/>
                <w:szCs w:val="24"/>
              </w:rPr>
              <w:t xml:space="preserve">A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2235" w:type="dxa"/>
            <w:vMerge w:val="restart"/>
            <w:tcBorders>
              <w:top w:val="single" w:color="000000" w:sz="4" w:space="0"/>
              <w:left w:val="single" w:color="000000" w:sz="4" w:space="0"/>
              <w:bottom w:val="single" w:color="000000" w:sz="4" w:space="0"/>
              <w:right w:val="single" w:color="000000" w:sz="4" w:space="0"/>
            </w:tcBorders>
            <w:vAlign w:val="center"/>
          </w:tcPr>
          <w:p w14:paraId="0C0F1666">
            <w:pPr>
              <w:ind w:right="89"/>
              <w:jc w:val="center"/>
              <w:rPr>
                <w:rFonts w:ascii="仿宋_GB2312" w:eastAsia="仿宋_GB2312"/>
                <w:sz w:val="24"/>
                <w:szCs w:val="24"/>
              </w:rPr>
            </w:pPr>
            <w:r>
              <w:rPr>
                <w:rFonts w:hint="eastAsia" w:ascii="仿宋_GB2312" w:hAnsi="Calibri" w:eastAsia="仿宋_GB2312" w:cs="Calibri"/>
                <w:sz w:val="24"/>
                <w:szCs w:val="24"/>
              </w:rPr>
              <w:t xml:space="preserve">1000 </w:t>
            </w:r>
          </w:p>
        </w:tc>
        <w:tc>
          <w:tcPr>
            <w:tcW w:w="1724" w:type="dxa"/>
            <w:tcBorders>
              <w:top w:val="single" w:color="000000" w:sz="4" w:space="0"/>
              <w:left w:val="single" w:color="000000" w:sz="4" w:space="0"/>
              <w:bottom w:val="single" w:color="000000" w:sz="4" w:space="0"/>
              <w:right w:val="single" w:color="000000" w:sz="4" w:space="0"/>
            </w:tcBorders>
          </w:tcPr>
          <w:p w14:paraId="6C7DF8C8">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3</m:t>
                    </m:r>
                    <m:ctrlPr>
                      <w:rPr>
                        <w:rFonts w:hint="eastAsia" w:ascii="Cambria Math" w:hAnsi="Cambria Math" w:eastAsia="仿宋_GB2312"/>
                        <w:sz w:val="24"/>
                        <w:szCs w:val="24"/>
                      </w:rPr>
                    </m:ctrlPr>
                  </m:num>
                  <m:den>
                    <m:r>
                      <m:rPr/>
                      <w:rPr>
                        <w:rFonts w:hint="eastAsia" w:ascii="Cambria Math" w:hAnsi="Cambria Math" w:eastAsia="仿宋_GB2312"/>
                        <w:sz w:val="24"/>
                        <w:szCs w:val="24"/>
                      </w:rPr>
                      <m:t>7</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79C88D24">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4B9A8335">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2781AD15">
        <w:tblPrEx>
          <w:tblCellMar>
            <w:top w:w="0" w:type="dxa"/>
            <w:left w:w="108" w:type="dxa"/>
            <w:bottom w:w="0" w:type="dxa"/>
            <w:right w:w="17" w:type="dxa"/>
          </w:tblCellMar>
        </w:tblPrEx>
        <w:trPr>
          <w:trHeight w:val="650"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3E69C2AE">
            <w:pPr>
              <w:ind w:right="89"/>
              <w:jc w:val="center"/>
              <w:rPr>
                <w:rFonts w:ascii="仿宋_GB2312" w:eastAsia="仿宋_GB2312"/>
                <w:sz w:val="24"/>
                <w:szCs w:val="24"/>
              </w:rPr>
            </w:pPr>
            <w:r>
              <w:rPr>
                <w:rFonts w:hint="eastAsia" w:ascii="仿宋_GB2312" w:hAnsi="Calibri" w:eastAsia="仿宋_GB2312" w:cs="Calibri"/>
                <w:sz w:val="24"/>
                <w:szCs w:val="24"/>
              </w:rPr>
              <w:t xml:space="preserve">B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nil"/>
              <w:right w:val="single" w:color="000000" w:sz="4" w:space="0"/>
            </w:tcBorders>
          </w:tcPr>
          <w:p w14:paraId="7238997B">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74B54A44">
            <w:pPr>
              <w:rPr>
                <w:rFonts w:ascii="仿宋_GB2312" w:eastAsia="仿宋_GB2312"/>
                <w:sz w:val="24"/>
                <w:szCs w:val="24"/>
              </w:rPr>
            </w:pPr>
            <m:oMathPara>
              <m:oMathParaPr>
                <m:jc m:val="center"/>
              </m:oMathParaPr>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1</m:t>
                    </m:r>
                    <m:ctrlPr>
                      <w:rPr>
                        <w:rFonts w:hint="eastAsia" w:ascii="Cambria Math" w:hAnsi="Cambria Math" w:eastAsia="仿宋_GB2312"/>
                        <w:sz w:val="24"/>
                        <w:szCs w:val="24"/>
                      </w:rPr>
                    </m:ctrlPr>
                  </m:num>
                  <m:den>
                    <m:r>
                      <m:rPr/>
                      <w:rPr>
                        <w:rFonts w:hint="eastAsia" w:ascii="Cambria Math" w:hAnsi="Cambria Math" w:eastAsia="仿宋_GB2312"/>
                        <w:sz w:val="24"/>
                        <w:szCs w:val="24"/>
                      </w:rPr>
                      <m:t>6</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0FA502F6">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6AC7BC4D">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r w14:paraId="4C850D4E">
        <w:tblPrEx>
          <w:tblCellMar>
            <w:top w:w="0" w:type="dxa"/>
            <w:left w:w="108" w:type="dxa"/>
            <w:bottom w:w="0" w:type="dxa"/>
            <w:right w:w="17" w:type="dxa"/>
          </w:tblCellMar>
        </w:tblPrEx>
        <w:trPr>
          <w:trHeight w:val="653" w:hRule="atLeast"/>
        </w:trPr>
        <w:tc>
          <w:tcPr>
            <w:tcW w:w="1682" w:type="dxa"/>
            <w:tcBorders>
              <w:top w:val="single" w:color="000000" w:sz="4" w:space="0"/>
              <w:left w:val="single" w:color="000000" w:sz="4" w:space="0"/>
              <w:bottom w:val="single" w:color="000000" w:sz="4" w:space="0"/>
              <w:right w:val="single" w:color="000000" w:sz="4" w:space="0"/>
            </w:tcBorders>
            <w:vAlign w:val="center"/>
          </w:tcPr>
          <w:p w14:paraId="75E53FE6">
            <w:pPr>
              <w:ind w:right="91"/>
              <w:jc w:val="center"/>
              <w:rPr>
                <w:rFonts w:ascii="仿宋_GB2312" w:eastAsia="仿宋_GB2312"/>
                <w:sz w:val="24"/>
                <w:szCs w:val="24"/>
              </w:rPr>
            </w:pPr>
            <w:r>
              <w:rPr>
                <w:rFonts w:hint="eastAsia" w:ascii="仿宋_GB2312" w:hAnsi="Calibri" w:eastAsia="仿宋_GB2312" w:cs="Calibri"/>
                <w:sz w:val="24"/>
                <w:szCs w:val="24"/>
              </w:rPr>
              <w:t xml:space="preserve">C </w:t>
            </w:r>
            <w:r>
              <w:rPr>
                <w:rFonts w:hint="eastAsia" w:ascii="仿宋_GB2312" w:eastAsia="仿宋_GB2312"/>
                <w:sz w:val="24"/>
                <w:szCs w:val="24"/>
              </w:rPr>
              <w:t>液</w:t>
            </w:r>
            <w:r>
              <w:rPr>
                <w:rFonts w:hint="eastAsia" w:ascii="仿宋_GB2312" w:hAnsi="Calibri" w:eastAsia="仿宋_GB2312" w:cs="Calibri"/>
                <w:sz w:val="24"/>
                <w:szCs w:val="24"/>
              </w:rPr>
              <w:t xml:space="preserve"> </w:t>
            </w:r>
          </w:p>
        </w:tc>
        <w:tc>
          <w:tcPr>
            <w:tcW w:w="0" w:type="auto"/>
            <w:vMerge w:val="continue"/>
            <w:tcBorders>
              <w:top w:val="nil"/>
              <w:left w:val="single" w:color="000000" w:sz="4" w:space="0"/>
              <w:bottom w:val="single" w:color="000000" w:sz="4" w:space="0"/>
              <w:right w:val="single" w:color="000000" w:sz="4" w:space="0"/>
            </w:tcBorders>
          </w:tcPr>
          <w:p w14:paraId="07F393C5">
            <w:pPr>
              <w:spacing w:after="160"/>
              <w:rPr>
                <w:rFonts w:ascii="仿宋_GB2312" w:eastAsia="仿宋_GB2312"/>
                <w:sz w:val="24"/>
                <w:szCs w:val="24"/>
              </w:rPr>
            </w:pPr>
          </w:p>
        </w:tc>
        <w:tc>
          <w:tcPr>
            <w:tcW w:w="1724" w:type="dxa"/>
            <w:tcBorders>
              <w:top w:val="single" w:color="000000" w:sz="4" w:space="0"/>
              <w:left w:val="single" w:color="000000" w:sz="4" w:space="0"/>
              <w:bottom w:val="single" w:color="000000" w:sz="4" w:space="0"/>
              <w:right w:val="single" w:color="000000" w:sz="4" w:space="0"/>
            </w:tcBorders>
          </w:tcPr>
          <w:p w14:paraId="77D63CC1">
            <w:pPr>
              <w:spacing w:after="160"/>
              <w:rPr>
                <w:rFonts w:ascii="仿宋_GB2312" w:eastAsia="仿宋_GB2312"/>
                <w:sz w:val="24"/>
                <w:szCs w:val="24"/>
              </w:rPr>
            </w:pPr>
            <m:oMathPara>
              <m:oMath>
                <m:f>
                  <m:fPr>
                    <m:ctrlPr>
                      <w:rPr>
                        <w:rFonts w:hint="eastAsia" w:ascii="Cambria Math" w:hAnsi="Cambria Math" w:eastAsia="仿宋_GB2312"/>
                        <w:sz w:val="24"/>
                        <w:szCs w:val="24"/>
                      </w:rPr>
                    </m:ctrlPr>
                  </m:fPr>
                  <m:num>
                    <m:r>
                      <m:rPr/>
                      <w:rPr>
                        <w:rFonts w:hint="eastAsia" w:ascii="Cambria Math" w:hAnsi="Cambria Math" w:eastAsia="仿宋_GB2312"/>
                        <w:sz w:val="24"/>
                        <w:szCs w:val="24"/>
                      </w:rPr>
                      <m:t>3</m:t>
                    </m:r>
                    <m:ctrlPr>
                      <w:rPr>
                        <w:rFonts w:hint="eastAsia" w:ascii="Cambria Math" w:hAnsi="Cambria Math" w:eastAsia="仿宋_GB2312"/>
                        <w:sz w:val="24"/>
                        <w:szCs w:val="24"/>
                      </w:rPr>
                    </m:ctrlPr>
                  </m:num>
                  <m:den>
                    <m:r>
                      <m:rPr/>
                      <w:rPr>
                        <w:rFonts w:hint="eastAsia" w:ascii="Cambria Math" w:hAnsi="Cambria Math" w:eastAsia="仿宋_GB2312"/>
                        <w:sz w:val="24"/>
                        <w:szCs w:val="24"/>
                      </w:rPr>
                      <m:t>8</m:t>
                    </m:r>
                    <m:ctrlPr>
                      <w:rPr>
                        <w:rFonts w:hint="eastAsia" w:ascii="Cambria Math" w:hAnsi="Cambria Math" w:eastAsia="仿宋_GB2312"/>
                        <w:sz w:val="24"/>
                        <w:szCs w:val="24"/>
                      </w:rPr>
                    </m:ctrlPr>
                  </m:den>
                </m:f>
              </m:oMath>
            </m:oMathPara>
          </w:p>
        </w:tc>
        <w:tc>
          <w:tcPr>
            <w:tcW w:w="1549" w:type="dxa"/>
            <w:tcBorders>
              <w:top w:val="single" w:color="000000" w:sz="4" w:space="0"/>
              <w:left w:val="single" w:color="000000" w:sz="4" w:space="0"/>
              <w:bottom w:val="single" w:color="000000" w:sz="4" w:space="0"/>
              <w:right w:val="single" w:color="000000" w:sz="4" w:space="0"/>
            </w:tcBorders>
            <w:vAlign w:val="center"/>
          </w:tcPr>
          <w:p w14:paraId="096858B3">
            <w:pPr>
              <w:ind w:left="26"/>
              <w:jc w:val="center"/>
              <w:rPr>
                <w:rFonts w:ascii="仿宋_GB2312" w:eastAsia="仿宋_GB2312"/>
                <w:sz w:val="24"/>
                <w:szCs w:val="24"/>
              </w:rPr>
            </w:pPr>
            <w:r>
              <w:rPr>
                <w:rFonts w:hint="eastAsia" w:ascii="仿宋_GB2312" w:hAnsi="Calibri" w:eastAsia="仿宋_GB2312" w:cs="Calibri"/>
                <w:sz w:val="24"/>
                <w:szCs w:val="24"/>
              </w:rPr>
              <w:t xml:space="preserve"> </w:t>
            </w:r>
          </w:p>
        </w:tc>
        <w:tc>
          <w:tcPr>
            <w:tcW w:w="1339" w:type="dxa"/>
            <w:tcBorders>
              <w:top w:val="single" w:color="000000" w:sz="4" w:space="0"/>
              <w:left w:val="single" w:color="000000" w:sz="4" w:space="0"/>
              <w:bottom w:val="single" w:color="000000" w:sz="4" w:space="0"/>
              <w:right w:val="single" w:color="000000" w:sz="4" w:space="0"/>
            </w:tcBorders>
            <w:vAlign w:val="center"/>
          </w:tcPr>
          <w:p w14:paraId="72C20AE3">
            <w:pPr>
              <w:ind w:left="29"/>
              <w:jc w:val="center"/>
              <w:rPr>
                <w:rFonts w:ascii="仿宋_GB2312" w:eastAsia="仿宋_GB2312"/>
                <w:sz w:val="24"/>
                <w:szCs w:val="24"/>
              </w:rPr>
            </w:pPr>
            <w:r>
              <w:rPr>
                <w:rFonts w:hint="eastAsia" w:ascii="仿宋_GB2312" w:hAnsi="Calibri" w:eastAsia="仿宋_GB2312" w:cs="Calibri"/>
                <w:sz w:val="24"/>
                <w:szCs w:val="24"/>
              </w:rPr>
              <w:t xml:space="preserve"> </w:t>
            </w:r>
          </w:p>
        </w:tc>
      </w:tr>
    </w:tbl>
    <w:p w14:paraId="2716D62B">
      <w:pPr>
        <w:spacing w:before="312" w:beforeLines="100" w:after="312" w:afterLines="100"/>
        <w:ind w:left="-6" w:hanging="11"/>
        <w:rPr>
          <w:rFonts w:hint="eastAsia" w:ascii="仿宋_GB2312" w:eastAsia="仿宋_GB2312"/>
          <w:b/>
          <w:sz w:val="30"/>
        </w:rPr>
      </w:pPr>
      <w:r>
        <w:rPr>
          <w:rFonts w:hint="eastAsia" w:ascii="仿宋_GB2312" w:eastAsia="仿宋_GB2312"/>
          <w:b/>
          <w:sz w:val="30"/>
        </w:rPr>
        <w:t xml:space="preserve">实际操作结束时间（根据现场钟表填写）：  </w:t>
      </w:r>
    </w:p>
    <w:p w14:paraId="04ECE4AF">
      <w:pPr>
        <w:rPr>
          <w:rFonts w:ascii="仿宋_GB2312" w:eastAsia="仿宋_GB2312"/>
          <w:b/>
        </w:rPr>
      </w:pPr>
      <w:r>
        <w:rPr>
          <w:rFonts w:ascii="仿宋_GB2312" w:eastAsia="仿宋_GB2312"/>
          <w:b/>
        </w:rPr>
        <w:br w:type="page"/>
      </w:r>
    </w:p>
    <w:p w14:paraId="269AD5BE">
      <w:pPr>
        <w:autoSpaceDE w:val="0"/>
        <w:autoSpaceDN w:val="0"/>
        <w:adjustRightInd w:val="0"/>
        <w:jc w:val="center"/>
        <w:rPr>
          <w:rFonts w:ascii="黑体" w:hAnsi="黑体" w:eastAsia="黑体" w:cs="仿宋"/>
          <w:kern w:val="0"/>
          <w:sz w:val="36"/>
          <w:szCs w:val="36"/>
        </w:rPr>
      </w:pPr>
      <w:r>
        <w:rPr>
          <w:rFonts w:hint="eastAsia" w:ascii="黑体" w:hAnsi="黑体" w:eastAsia="黑体" w:cs="仿宋"/>
          <w:kern w:val="0"/>
          <w:sz w:val="36"/>
          <w:szCs w:val="36"/>
          <w:lang w:val="en-US" w:eastAsia="zh-CN"/>
        </w:rPr>
        <w:t>模块三</w:t>
      </w:r>
      <w:r>
        <w:rPr>
          <w:rFonts w:hint="eastAsia" w:ascii="仿宋_GB2312" w:eastAsia="仿宋_GB2312"/>
          <w:b/>
          <w:w w:val="95"/>
          <w:sz w:val="36"/>
          <w:szCs w:val="36"/>
        </w:rPr>
        <w:t xml:space="preserve"> </w:t>
      </w:r>
      <w:r>
        <w:rPr>
          <w:rFonts w:ascii="仿宋_GB2312" w:eastAsia="仿宋_GB2312"/>
          <w:b/>
          <w:w w:val="95"/>
          <w:sz w:val="36"/>
          <w:szCs w:val="36"/>
        </w:rPr>
        <w:t xml:space="preserve"> </w:t>
      </w:r>
      <w:r>
        <w:rPr>
          <w:rFonts w:hint="eastAsia" w:ascii="黑体" w:hAnsi="黑体" w:eastAsia="黑体" w:cs="仿宋"/>
          <w:kern w:val="0"/>
          <w:sz w:val="36"/>
          <w:szCs w:val="36"/>
        </w:rPr>
        <w:t>嫁接育苗</w:t>
      </w:r>
    </w:p>
    <w:p w14:paraId="4807FB6C">
      <w:pPr>
        <w:pStyle w:val="4"/>
        <w:adjustRightInd w:val="0"/>
        <w:snapToGrid w:val="0"/>
        <w:spacing w:line="360" w:lineRule="auto"/>
        <w:ind w:left="0" w:firstLine="843" w:firstLineChars="296"/>
        <w:rPr>
          <w:rFonts w:ascii="仿宋_GB2312" w:eastAsia="仿宋_GB2312"/>
          <w:w w:val="95"/>
        </w:rPr>
      </w:pPr>
      <w:r>
        <w:rPr>
          <w:rFonts w:hint="eastAsia" w:ascii="仿宋_GB2312" w:eastAsia="仿宋_GB2312"/>
          <w:w w:val="95"/>
          <w:lang w:val="en-US" w:eastAsia="zh-CN"/>
        </w:rPr>
        <w:t>一</w:t>
      </w:r>
      <w:r>
        <w:rPr>
          <w:rFonts w:hint="eastAsia" w:ascii="仿宋_GB2312" w:eastAsia="仿宋_GB2312"/>
          <w:w w:val="95"/>
        </w:rPr>
        <w:t>、嫁接操作(</w:t>
      </w:r>
      <w:r>
        <w:rPr>
          <w:rFonts w:hint="eastAsia" w:ascii="仿宋_GB2312" w:eastAsia="仿宋_GB2312"/>
          <w:w w:val="95"/>
          <w:lang w:val="en-US" w:eastAsia="zh-CN"/>
        </w:rPr>
        <w:t>51</w:t>
      </w:r>
      <w:r>
        <w:rPr>
          <w:rFonts w:hint="eastAsia" w:ascii="仿宋_GB2312" w:eastAsia="仿宋_GB2312"/>
          <w:w w:val="95"/>
        </w:rPr>
        <w:t>分)</w:t>
      </w:r>
      <w:bookmarkStart w:id="0" w:name="_GoBack"/>
      <w:bookmarkEnd w:id="0"/>
    </w:p>
    <w:p w14:paraId="5F2D188B">
      <w:pPr>
        <w:adjustRightInd w:val="0"/>
        <w:snapToGrid w:val="0"/>
        <w:spacing w:line="360" w:lineRule="auto"/>
        <w:ind w:left="261" w:firstLine="561"/>
        <w:rPr>
          <w:rFonts w:hint="eastAsia" w:ascii="仿宋_GB2312" w:eastAsia="仿宋_GB2312"/>
          <w:spacing w:val="-2"/>
          <w:sz w:val="28"/>
        </w:rPr>
      </w:pPr>
      <w:r>
        <w:rPr>
          <w:rFonts w:hint="eastAsia" w:ascii="仿宋_GB2312" w:eastAsia="仿宋_GB2312"/>
          <w:spacing w:val="-18"/>
          <w:sz w:val="28"/>
        </w:rPr>
        <w:t xml:space="preserve">在规定的 </w:t>
      </w:r>
      <w:r>
        <w:rPr>
          <w:rFonts w:hint="eastAsia" w:ascii="仿宋_GB2312" w:eastAsia="仿宋_GB2312"/>
          <w:spacing w:val="-4"/>
          <w:sz w:val="28"/>
          <w:lang w:val="en-US" w:eastAsia="zh-CN"/>
        </w:rPr>
        <w:t>4</w:t>
      </w:r>
      <w:r>
        <w:rPr>
          <w:rFonts w:hint="eastAsia" w:ascii="仿宋_GB2312" w:eastAsia="仿宋_GB2312"/>
          <w:spacing w:val="-4"/>
          <w:sz w:val="28"/>
        </w:rPr>
        <w:t>0</w:t>
      </w:r>
      <w:r>
        <w:rPr>
          <w:rFonts w:hint="eastAsia" w:ascii="仿宋_GB2312" w:eastAsia="仿宋_GB2312"/>
          <w:spacing w:val="-13"/>
          <w:sz w:val="28"/>
        </w:rPr>
        <w:t xml:space="preserve"> 分钟时间内，分别完成茄子劈接</w:t>
      </w:r>
      <w:r>
        <w:rPr>
          <w:rFonts w:hint="eastAsia" w:ascii="仿宋_GB2312" w:eastAsia="仿宋_GB2312"/>
          <w:spacing w:val="-2"/>
          <w:sz w:val="28"/>
        </w:rPr>
        <w:t>、</w:t>
      </w:r>
      <w:r>
        <w:rPr>
          <w:rFonts w:hint="eastAsia" w:ascii="仿宋_GB2312" w:eastAsia="仿宋_GB2312"/>
          <w:spacing w:val="-13"/>
          <w:sz w:val="28"/>
        </w:rPr>
        <w:t>黄瓜顶端插接两</w:t>
      </w:r>
      <w:r>
        <w:rPr>
          <w:rFonts w:hint="eastAsia" w:ascii="仿宋_GB2312" w:eastAsia="仿宋_GB2312"/>
          <w:spacing w:val="-2"/>
          <w:sz w:val="28"/>
        </w:rPr>
        <w:t>项操作内容。考核内容和评分标准详见本赛项规程。</w:t>
      </w:r>
    </w:p>
    <w:p w14:paraId="5F2214A9">
      <w:pPr>
        <w:ind w:firstLine="840" w:firstLineChars="300"/>
        <w:rPr>
          <w:rFonts w:ascii="Times New Roman" w:hAnsi="Times New Roman" w:eastAsia="仿宋_GB2312" w:cs="Times New Roman"/>
          <w:sz w:val="28"/>
          <w:szCs w:val="28"/>
        </w:rPr>
      </w:pPr>
      <w:r>
        <w:rPr>
          <w:rFonts w:hint="eastAsia" w:ascii="Times New Roman" w:hAnsi="Times New Roman" w:eastAsia="仿宋_GB2312" w:cs="Times New Roman"/>
          <w:sz w:val="28"/>
          <w:szCs w:val="28"/>
          <w:lang w:val="en-US" w:eastAsia="zh-CN"/>
        </w:rPr>
        <w:t>二、</w:t>
      </w:r>
      <w:r>
        <w:rPr>
          <w:rFonts w:hint="eastAsia" w:ascii="Times New Roman" w:hAnsi="Times New Roman" w:eastAsia="仿宋_GB2312" w:cs="Times New Roman"/>
          <w:sz w:val="28"/>
          <w:szCs w:val="28"/>
        </w:rPr>
        <w:t>嫁接后管理（</w:t>
      </w:r>
      <w:r>
        <w:rPr>
          <w:rFonts w:hint="eastAsia" w:ascii="Times New Roman" w:hAnsi="Times New Roman" w:eastAsia="仿宋_GB2312" w:cs="Times New Roman"/>
          <w:sz w:val="28"/>
          <w:szCs w:val="28"/>
          <w:lang w:val="en-US" w:eastAsia="zh-CN"/>
        </w:rPr>
        <w:t>8</w:t>
      </w:r>
      <w:r>
        <w:rPr>
          <w:rFonts w:hint="eastAsia" w:ascii="Times New Roman" w:hAnsi="Times New Roman" w:eastAsia="仿宋_GB2312" w:cs="Times New Roman"/>
          <w:sz w:val="28"/>
          <w:szCs w:val="28"/>
        </w:rPr>
        <w:t>分）</w:t>
      </w:r>
    </w:p>
    <w:p w14:paraId="52AEB7CE">
      <w:pPr>
        <w:adjustRightInd w:val="0"/>
        <w:snapToGrid w:val="0"/>
        <w:spacing w:line="360" w:lineRule="auto"/>
        <w:ind w:left="261" w:firstLine="561"/>
        <w:rPr>
          <w:rFonts w:ascii="Times New Roman" w:hAnsi="Times New Roman" w:eastAsia="仿宋_GB2312" w:cs="Times New Roman"/>
          <w:spacing w:val="-2"/>
          <w:sz w:val="28"/>
        </w:rPr>
      </w:pPr>
      <w:r>
        <w:rPr>
          <w:rFonts w:hint="eastAsia" w:ascii="Times New Roman" w:hAnsi="Times New Roman" w:eastAsia="仿宋_GB2312" w:cs="Times New Roman"/>
          <w:spacing w:val="-2"/>
          <w:sz w:val="28"/>
        </w:rPr>
        <w:t>在规定的</w:t>
      </w:r>
      <w:r>
        <w:rPr>
          <w:rFonts w:hint="eastAsia" w:ascii="Times New Roman" w:hAnsi="Times New Roman" w:eastAsia="仿宋_GB2312" w:cs="Times New Roman"/>
          <w:spacing w:val="-2"/>
          <w:sz w:val="28"/>
          <w:lang w:val="en-US" w:eastAsia="zh-CN"/>
        </w:rPr>
        <w:t>3</w:t>
      </w:r>
      <w:r>
        <w:rPr>
          <w:rFonts w:ascii="Times New Roman" w:hAnsi="Times New Roman" w:eastAsia="仿宋_GB2312" w:cs="Times New Roman"/>
          <w:spacing w:val="-2"/>
          <w:sz w:val="28"/>
        </w:rPr>
        <w:t>0</w:t>
      </w:r>
      <w:r>
        <w:rPr>
          <w:rFonts w:hint="eastAsia" w:ascii="Times New Roman" w:hAnsi="Times New Roman" w:eastAsia="仿宋_GB2312" w:cs="Times New Roman"/>
          <w:spacing w:val="-2"/>
          <w:sz w:val="28"/>
        </w:rPr>
        <w:t>分钟时间内，构建小气候环境，模拟1</w:t>
      </w:r>
      <w:r>
        <w:rPr>
          <w:rFonts w:ascii="Times New Roman" w:hAnsi="Times New Roman" w:eastAsia="仿宋_GB2312" w:cs="Times New Roman"/>
          <w:spacing w:val="-2"/>
          <w:sz w:val="28"/>
        </w:rPr>
        <w:t>5</w:t>
      </w:r>
      <w:r>
        <w:rPr>
          <w:rFonts w:hint="eastAsia" w:ascii="Times New Roman" w:hAnsi="Times New Roman" w:eastAsia="仿宋_GB2312" w:cs="Times New Roman"/>
          <w:spacing w:val="-2"/>
          <w:sz w:val="28"/>
        </w:rPr>
        <w:t>天的成长周期，完成对植物嫁接后的管理与维护，提高嫁接接后植物的成活率。考核4个阶段（1</w:t>
      </w:r>
      <w:r>
        <w:rPr>
          <w:rFonts w:ascii="Times New Roman" w:hAnsi="Times New Roman" w:eastAsia="仿宋_GB2312" w:cs="Times New Roman"/>
          <w:spacing w:val="-2"/>
          <w:sz w:val="28"/>
        </w:rPr>
        <w:t>-3</w:t>
      </w:r>
      <w:r>
        <w:rPr>
          <w:rFonts w:hint="eastAsia" w:ascii="Times New Roman" w:hAnsi="Times New Roman" w:eastAsia="仿宋_GB2312" w:cs="Times New Roman"/>
          <w:spacing w:val="-2"/>
          <w:sz w:val="28"/>
        </w:rPr>
        <w:t>天，4</w:t>
      </w:r>
      <w:r>
        <w:rPr>
          <w:rFonts w:ascii="Times New Roman" w:hAnsi="Times New Roman" w:eastAsia="仿宋_GB2312" w:cs="Times New Roman"/>
          <w:spacing w:val="-2"/>
          <w:sz w:val="28"/>
        </w:rPr>
        <w:t>-6</w:t>
      </w:r>
      <w:r>
        <w:rPr>
          <w:rFonts w:hint="eastAsia" w:ascii="Times New Roman" w:hAnsi="Times New Roman" w:eastAsia="仿宋_GB2312" w:cs="Times New Roman"/>
          <w:spacing w:val="-2"/>
          <w:sz w:val="28"/>
        </w:rPr>
        <w:t>天，7</w:t>
      </w:r>
      <w:r>
        <w:rPr>
          <w:rFonts w:ascii="Times New Roman" w:hAnsi="Times New Roman" w:eastAsia="仿宋_GB2312" w:cs="Times New Roman"/>
          <w:spacing w:val="-2"/>
          <w:sz w:val="28"/>
        </w:rPr>
        <w:t>-10</w:t>
      </w:r>
      <w:r>
        <w:rPr>
          <w:rFonts w:hint="eastAsia" w:ascii="Times New Roman" w:hAnsi="Times New Roman" w:eastAsia="仿宋_GB2312" w:cs="Times New Roman"/>
          <w:spacing w:val="-2"/>
          <w:sz w:val="28"/>
        </w:rPr>
        <w:t>天，1</w:t>
      </w:r>
      <w:r>
        <w:rPr>
          <w:rFonts w:ascii="Times New Roman" w:hAnsi="Times New Roman" w:eastAsia="仿宋_GB2312" w:cs="Times New Roman"/>
          <w:spacing w:val="-2"/>
          <w:sz w:val="28"/>
        </w:rPr>
        <w:t>1-15</w:t>
      </w:r>
      <w:r>
        <w:rPr>
          <w:rFonts w:hint="eastAsia" w:ascii="Times New Roman" w:hAnsi="Times New Roman" w:eastAsia="仿宋_GB2312" w:cs="Times New Roman"/>
          <w:spacing w:val="-2"/>
          <w:sz w:val="28"/>
        </w:rPr>
        <w:t>天）各阶段植物生长所需要的小气候环境的调控，包括温度、光照强度、空气湿度。苗情观测及出现问题处理等。</w:t>
      </w:r>
    </w:p>
    <w:p w14:paraId="6DE040DD">
      <w:pPr>
        <w:pStyle w:val="2"/>
      </w:pPr>
    </w:p>
    <w:p w14:paraId="2FCC5F49">
      <w:pPr>
        <w:rPr>
          <w:rFonts w:ascii="仿宋_GB2312" w:eastAsia="仿宋_GB2312"/>
          <w:sz w:val="28"/>
          <w:szCs w:val="28"/>
        </w:rPr>
      </w:pPr>
    </w:p>
    <w:sectPr>
      <w:pgSz w:w="11906" w:h="16838"/>
      <w:pgMar w:top="1440" w:right="1797" w:bottom="1440" w:left="1797" w:header="851" w:footer="992"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1A242CA-44C5-419E-BC2F-74B84FD01A7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143CFCF4-5DF5-4AD1-9A49-7DA8A47A57C4}"/>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embedRegular r:id="rId3" w:fontKey="{C222A48C-7359-4424-860B-E67197D3DA29}"/>
  </w:font>
  <w:font w:name="仿宋_GB2312">
    <w:panose1 w:val="02010609030101010101"/>
    <w:charset w:val="86"/>
    <w:family w:val="auto"/>
    <w:pitch w:val="default"/>
    <w:sig w:usb0="00000001" w:usb1="080E0000" w:usb2="00000000" w:usb3="00000000" w:csb0="00040000" w:csb1="00000000"/>
    <w:embedRegular r:id="rId4" w:fontKey="{7C774180-D755-466E-AF65-0D3185510416}"/>
  </w:font>
  <w:font w:name="Wingdings 2">
    <w:panose1 w:val="05020102010507070707"/>
    <w:charset w:val="02"/>
    <w:family w:val="roman"/>
    <w:pitch w:val="default"/>
    <w:sig w:usb0="00000000" w:usb1="00000000" w:usb2="00000000" w:usb3="00000000" w:csb0="80000000" w:csb1="00000000"/>
    <w:embedRegular r:id="rId5" w:fontKey="{DFCFA345-2813-491D-9A0A-F0C1503969A7}"/>
  </w:font>
  <w:font w:name="___WRD_EMBED_SUB_41">
    <w:panose1 w:val="02010609030101010101"/>
    <w:charset w:val="86"/>
    <w:family w:val="modern"/>
    <w:pitch w:val="default"/>
    <w:sig w:usb0="00000001" w:usb1="080E0000" w:usb2="00000000" w:usb3="00000000" w:csb0="00040000" w:csb1="00000000"/>
    <w:embedRegular r:id="rId6" w:fontKey="{BDB72B71-6537-447D-8FF2-74FD56C657AB}"/>
  </w:font>
  <w:font w:name="方正小标宋简体">
    <w:panose1 w:val="02000000000000000000"/>
    <w:charset w:val="86"/>
    <w:family w:val="script"/>
    <w:pitch w:val="default"/>
    <w:sig w:usb0="00000001" w:usb1="08000000" w:usb2="00000000" w:usb3="00000000" w:csb0="00040000" w:csb1="00000000"/>
    <w:embedRegular r:id="rId7" w:fontKey="{AD5FC50A-2AA1-4333-A7E3-F2E5099B3924}"/>
  </w:font>
  <w:font w:name="Cambria Math">
    <w:panose1 w:val="02040503050406030204"/>
    <w:charset w:val="00"/>
    <w:family w:val="roman"/>
    <w:pitch w:val="default"/>
    <w:sig w:usb0="E00006FF" w:usb1="420024FF" w:usb2="02000000" w:usb3="00000000" w:csb0="2000019F" w:csb1="00000000"/>
    <w:embedRegular r:id="rId8" w:fontKey="{C2C5B834-212D-4F06-9F20-EFA5A68EF82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embedTrueTypeFonts/>
  <w:saveSubsetFonts/>
  <w:bordersDoNotSurroundHeader w:val="1"/>
  <w:bordersDoNotSurroundFooter w:val="1"/>
  <w:hideSpellingErrors/>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YwYjFkNGM3ZWUwZTdkNTRiODNlMTJlNDNhNmFiNDUifQ=="/>
  </w:docVars>
  <w:rsids>
    <w:rsidRoot w:val="00791E34"/>
    <w:rsid w:val="00007518"/>
    <w:rsid w:val="00074419"/>
    <w:rsid w:val="000D703E"/>
    <w:rsid w:val="000F53E4"/>
    <w:rsid w:val="0012457E"/>
    <w:rsid w:val="00134659"/>
    <w:rsid w:val="00137C95"/>
    <w:rsid w:val="001651E4"/>
    <w:rsid w:val="0017166F"/>
    <w:rsid w:val="001877FE"/>
    <w:rsid w:val="00196B0D"/>
    <w:rsid w:val="001B2002"/>
    <w:rsid w:val="001D34B9"/>
    <w:rsid w:val="001F23ED"/>
    <w:rsid w:val="0022658F"/>
    <w:rsid w:val="00251586"/>
    <w:rsid w:val="00252CDE"/>
    <w:rsid w:val="002538C3"/>
    <w:rsid w:val="00292F6F"/>
    <w:rsid w:val="002B0498"/>
    <w:rsid w:val="002D3E40"/>
    <w:rsid w:val="002E7CDB"/>
    <w:rsid w:val="00320CD4"/>
    <w:rsid w:val="0033453D"/>
    <w:rsid w:val="00353488"/>
    <w:rsid w:val="003960E7"/>
    <w:rsid w:val="003A45CD"/>
    <w:rsid w:val="003B5666"/>
    <w:rsid w:val="003C3C59"/>
    <w:rsid w:val="003C5584"/>
    <w:rsid w:val="004037C5"/>
    <w:rsid w:val="00433EBB"/>
    <w:rsid w:val="00463841"/>
    <w:rsid w:val="004F6FF1"/>
    <w:rsid w:val="00501DD6"/>
    <w:rsid w:val="00504CA6"/>
    <w:rsid w:val="00554AF9"/>
    <w:rsid w:val="00590ECD"/>
    <w:rsid w:val="00592DCF"/>
    <w:rsid w:val="005A5DD7"/>
    <w:rsid w:val="005B3524"/>
    <w:rsid w:val="00630AAB"/>
    <w:rsid w:val="00667479"/>
    <w:rsid w:val="0069157F"/>
    <w:rsid w:val="006A56D2"/>
    <w:rsid w:val="006C66DB"/>
    <w:rsid w:val="006D599E"/>
    <w:rsid w:val="007016B5"/>
    <w:rsid w:val="00707264"/>
    <w:rsid w:val="00731EBE"/>
    <w:rsid w:val="007371D4"/>
    <w:rsid w:val="00751571"/>
    <w:rsid w:val="00776693"/>
    <w:rsid w:val="007812E0"/>
    <w:rsid w:val="00791E34"/>
    <w:rsid w:val="007D7BF8"/>
    <w:rsid w:val="007E3073"/>
    <w:rsid w:val="007E3A40"/>
    <w:rsid w:val="007F51BE"/>
    <w:rsid w:val="00813020"/>
    <w:rsid w:val="00820F2D"/>
    <w:rsid w:val="00847444"/>
    <w:rsid w:val="0088725B"/>
    <w:rsid w:val="008A6847"/>
    <w:rsid w:val="008B4640"/>
    <w:rsid w:val="008E69BC"/>
    <w:rsid w:val="00906722"/>
    <w:rsid w:val="00934805"/>
    <w:rsid w:val="009419E2"/>
    <w:rsid w:val="009A4E47"/>
    <w:rsid w:val="009A689D"/>
    <w:rsid w:val="009B493A"/>
    <w:rsid w:val="009D48AE"/>
    <w:rsid w:val="009E1014"/>
    <w:rsid w:val="009E57B6"/>
    <w:rsid w:val="00A1676F"/>
    <w:rsid w:val="00A25A04"/>
    <w:rsid w:val="00A27DCD"/>
    <w:rsid w:val="00A728BB"/>
    <w:rsid w:val="00A752FE"/>
    <w:rsid w:val="00A9791D"/>
    <w:rsid w:val="00AD1CEA"/>
    <w:rsid w:val="00AE7CB2"/>
    <w:rsid w:val="00B87DFF"/>
    <w:rsid w:val="00BC4EFF"/>
    <w:rsid w:val="00BD54F4"/>
    <w:rsid w:val="00C27B19"/>
    <w:rsid w:val="00C30746"/>
    <w:rsid w:val="00C34C58"/>
    <w:rsid w:val="00C563A3"/>
    <w:rsid w:val="00C57ECE"/>
    <w:rsid w:val="00CA7DEF"/>
    <w:rsid w:val="00CD063E"/>
    <w:rsid w:val="00D07ECA"/>
    <w:rsid w:val="00D25D45"/>
    <w:rsid w:val="00D506C9"/>
    <w:rsid w:val="00D779CB"/>
    <w:rsid w:val="00D8448C"/>
    <w:rsid w:val="00D903D7"/>
    <w:rsid w:val="00DB7165"/>
    <w:rsid w:val="00DD15FC"/>
    <w:rsid w:val="00DE7151"/>
    <w:rsid w:val="00E1227F"/>
    <w:rsid w:val="00E614BC"/>
    <w:rsid w:val="00E673FF"/>
    <w:rsid w:val="00EA065A"/>
    <w:rsid w:val="00EC124A"/>
    <w:rsid w:val="00EF2783"/>
    <w:rsid w:val="00F45366"/>
    <w:rsid w:val="00F46CA4"/>
    <w:rsid w:val="00F97252"/>
    <w:rsid w:val="00FC663F"/>
    <w:rsid w:val="00FD1FC4"/>
    <w:rsid w:val="00FD41D9"/>
    <w:rsid w:val="00FD7AD9"/>
    <w:rsid w:val="00FE7FAE"/>
    <w:rsid w:val="027F2F56"/>
    <w:rsid w:val="0560578B"/>
    <w:rsid w:val="0934067B"/>
    <w:rsid w:val="0AE222D4"/>
    <w:rsid w:val="10FE32FA"/>
    <w:rsid w:val="156C0C3B"/>
    <w:rsid w:val="170B0A42"/>
    <w:rsid w:val="17381599"/>
    <w:rsid w:val="19D41982"/>
    <w:rsid w:val="1AE72EE7"/>
    <w:rsid w:val="1B4E1020"/>
    <w:rsid w:val="1E955CFF"/>
    <w:rsid w:val="1F4A37C2"/>
    <w:rsid w:val="23DC56BB"/>
    <w:rsid w:val="24A816A1"/>
    <w:rsid w:val="24FB6C81"/>
    <w:rsid w:val="271F1E41"/>
    <w:rsid w:val="28FD44FB"/>
    <w:rsid w:val="29C76E0D"/>
    <w:rsid w:val="2C73502A"/>
    <w:rsid w:val="31501496"/>
    <w:rsid w:val="34D362DB"/>
    <w:rsid w:val="37C871C8"/>
    <w:rsid w:val="3A625B86"/>
    <w:rsid w:val="3B504160"/>
    <w:rsid w:val="3D162D2C"/>
    <w:rsid w:val="3D181B4D"/>
    <w:rsid w:val="3DB450EF"/>
    <w:rsid w:val="3FC51634"/>
    <w:rsid w:val="401A037E"/>
    <w:rsid w:val="419627BB"/>
    <w:rsid w:val="42FA74B4"/>
    <w:rsid w:val="4C3C112A"/>
    <w:rsid w:val="4D61751C"/>
    <w:rsid w:val="53EE4E13"/>
    <w:rsid w:val="567D089F"/>
    <w:rsid w:val="60377F2D"/>
    <w:rsid w:val="619F4598"/>
    <w:rsid w:val="64CA57EC"/>
    <w:rsid w:val="65821229"/>
    <w:rsid w:val="6FB24D95"/>
    <w:rsid w:val="787E193B"/>
    <w:rsid w:val="7A3902E6"/>
    <w:rsid w:val="7C0A708B"/>
    <w:rsid w:val="7C6679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next w:val="1"/>
    <w:link w:val="14"/>
    <w:unhideWhenUsed/>
    <w:qFormat/>
    <w:uiPriority w:val="9"/>
    <w:pPr>
      <w:keepNext/>
      <w:keepLines/>
      <w:spacing w:after="128" w:line="259" w:lineRule="auto"/>
      <w:ind w:left="10" w:hanging="10"/>
      <w:outlineLvl w:val="0"/>
    </w:pPr>
    <w:rPr>
      <w:rFonts w:ascii="微软雅黑" w:hAnsi="微软雅黑" w:eastAsia="微软雅黑" w:cs="微软雅黑"/>
      <w:color w:val="000000"/>
      <w:kern w:val="2"/>
      <w:sz w:val="30"/>
      <w:szCs w:val="22"/>
      <w:lang w:val="en-US" w:eastAsia="zh-CN" w:bidi="ar-SA"/>
    </w:rPr>
  </w:style>
  <w:style w:type="paragraph" w:styleId="4">
    <w:name w:val="heading 2"/>
    <w:basedOn w:val="1"/>
    <w:next w:val="1"/>
    <w:link w:val="15"/>
    <w:unhideWhenUsed/>
    <w:qFormat/>
    <w:uiPriority w:val="9"/>
    <w:pPr>
      <w:keepNext/>
      <w:keepLines/>
      <w:spacing w:after="128" w:line="259" w:lineRule="auto"/>
      <w:ind w:left="10" w:hanging="10"/>
      <w:outlineLvl w:val="1"/>
    </w:pPr>
    <w:rPr>
      <w:rFonts w:ascii="微软雅黑" w:hAnsi="微软雅黑" w:eastAsia="微软雅黑" w:cs="微软雅黑"/>
      <w:color w:val="000000"/>
      <w:kern w:val="2"/>
      <w:sz w:val="30"/>
      <w:szCs w:val="22"/>
      <w:lang w:val="en-US" w:eastAsia="zh-CN" w:bidi="ar-SA"/>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1"/>
    <w:pPr>
      <w:spacing w:before="41"/>
      <w:ind w:left="120"/>
      <w:jc w:val="left"/>
    </w:pPr>
    <w:rPr>
      <w:rFonts w:ascii="仿宋" w:hAnsi="仿宋" w:eastAsia="仿宋" w:cs="Times New Roman"/>
      <w:kern w:val="0"/>
      <w:sz w:val="28"/>
      <w:szCs w:val="28"/>
      <w:lang w:eastAsia="en-US"/>
    </w:rPr>
  </w:style>
  <w:style w:type="paragraph" w:styleId="5">
    <w:name w:val="Document Map"/>
    <w:basedOn w:val="1"/>
    <w:link w:val="16"/>
    <w:semiHidden/>
    <w:unhideWhenUsed/>
    <w:qFormat/>
    <w:uiPriority w:val="99"/>
    <w:rPr>
      <w:rFonts w:ascii="宋体" w:eastAsia="宋体"/>
      <w:sz w:val="18"/>
      <w:szCs w:val="18"/>
    </w:rPr>
  </w:style>
  <w:style w:type="paragraph" w:styleId="6">
    <w:name w:val="Body Text Indent"/>
    <w:basedOn w:val="1"/>
    <w:link w:val="19"/>
    <w:semiHidden/>
    <w:unhideWhenUsed/>
    <w:qFormat/>
    <w:uiPriority w:val="99"/>
    <w:pPr>
      <w:spacing w:after="120"/>
      <w:ind w:left="420" w:leftChars="200"/>
    </w:pPr>
  </w:style>
  <w:style w:type="paragraph" w:styleId="7">
    <w:name w:val="Balloon Text"/>
    <w:basedOn w:val="1"/>
    <w:link w:val="21"/>
    <w:semiHidden/>
    <w:unhideWhenUsed/>
    <w:qFormat/>
    <w:uiPriority w:val="99"/>
    <w:pPr>
      <w:widowControl/>
      <w:ind w:left="10" w:hanging="10"/>
      <w:jc w:val="left"/>
    </w:pPr>
    <w:rPr>
      <w:rFonts w:ascii="微软雅黑" w:hAnsi="微软雅黑" w:eastAsia="微软雅黑" w:cs="微软雅黑"/>
      <w:color w:val="000000"/>
      <w:sz w:val="18"/>
      <w:szCs w:val="18"/>
    </w:rPr>
  </w:style>
  <w:style w:type="paragraph" w:styleId="8">
    <w:name w:val="footer"/>
    <w:basedOn w:val="1"/>
    <w:link w:val="17"/>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Body Text First Indent 2"/>
    <w:basedOn w:val="6"/>
    <w:link w:val="20"/>
    <w:unhideWhenUsed/>
    <w:qFormat/>
    <w:uiPriority w:val="99"/>
    <w:pPr>
      <w:autoSpaceDE w:val="0"/>
      <w:autoSpaceDN w:val="0"/>
      <w:ind w:firstLine="420" w:firstLineChars="200"/>
      <w:jc w:val="left"/>
    </w:pPr>
    <w:rPr>
      <w:rFonts w:ascii="仿宋" w:hAnsi="仿宋" w:eastAsia="宋体" w:cs="仿宋"/>
      <w:kern w:val="0"/>
      <w:lang w:val="zh-CN" w:bidi="zh-CN"/>
    </w:rPr>
  </w:style>
  <w:style w:type="table" w:styleId="12">
    <w:name w:val="Table Grid"/>
    <w:qFormat/>
    <w:uiPriority w:val="0"/>
    <w:pPr>
      <w:widowControl w:val="0"/>
      <w:jc w:val="both"/>
    </w:pPr>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4">
    <w:name w:val="标题 1 Char"/>
    <w:basedOn w:val="13"/>
    <w:link w:val="3"/>
    <w:qFormat/>
    <w:uiPriority w:val="9"/>
    <w:rPr>
      <w:rFonts w:ascii="微软雅黑" w:hAnsi="微软雅黑" w:eastAsia="微软雅黑" w:cs="微软雅黑"/>
      <w:color w:val="000000"/>
      <w:kern w:val="2"/>
      <w:sz w:val="30"/>
      <w:szCs w:val="22"/>
    </w:rPr>
  </w:style>
  <w:style w:type="character" w:customStyle="1" w:styleId="15">
    <w:name w:val="标题 2 Char"/>
    <w:basedOn w:val="13"/>
    <w:link w:val="4"/>
    <w:qFormat/>
    <w:uiPriority w:val="9"/>
    <w:rPr>
      <w:rFonts w:ascii="微软雅黑" w:hAnsi="微软雅黑" w:eastAsia="微软雅黑" w:cs="微软雅黑"/>
      <w:color w:val="000000"/>
      <w:kern w:val="2"/>
      <w:sz w:val="30"/>
      <w:szCs w:val="22"/>
    </w:rPr>
  </w:style>
  <w:style w:type="character" w:customStyle="1" w:styleId="16">
    <w:name w:val="文档结构图 Char"/>
    <w:basedOn w:val="13"/>
    <w:link w:val="5"/>
    <w:semiHidden/>
    <w:qFormat/>
    <w:uiPriority w:val="99"/>
    <w:rPr>
      <w:rFonts w:ascii="宋体" w:eastAsia="宋体"/>
      <w:sz w:val="18"/>
      <w:szCs w:val="18"/>
    </w:rPr>
  </w:style>
  <w:style w:type="character" w:customStyle="1" w:styleId="17">
    <w:name w:val="页脚 Char"/>
    <w:basedOn w:val="13"/>
    <w:link w:val="8"/>
    <w:qFormat/>
    <w:uiPriority w:val="99"/>
    <w:rPr>
      <w:sz w:val="18"/>
      <w:szCs w:val="18"/>
    </w:rPr>
  </w:style>
  <w:style w:type="character" w:customStyle="1" w:styleId="18">
    <w:name w:val="页眉 Char"/>
    <w:basedOn w:val="13"/>
    <w:link w:val="9"/>
    <w:qFormat/>
    <w:uiPriority w:val="99"/>
    <w:rPr>
      <w:sz w:val="18"/>
      <w:szCs w:val="18"/>
    </w:rPr>
  </w:style>
  <w:style w:type="character" w:customStyle="1" w:styleId="19">
    <w:name w:val="正文文本缩进 Char"/>
    <w:basedOn w:val="13"/>
    <w:link w:val="6"/>
    <w:semiHidden/>
    <w:qFormat/>
    <w:uiPriority w:val="99"/>
    <w:rPr>
      <w:kern w:val="2"/>
      <w:sz w:val="21"/>
      <w:szCs w:val="22"/>
    </w:rPr>
  </w:style>
  <w:style w:type="character" w:customStyle="1" w:styleId="20">
    <w:name w:val="正文首行缩进 2 Char"/>
    <w:basedOn w:val="19"/>
    <w:link w:val="10"/>
    <w:qFormat/>
    <w:uiPriority w:val="99"/>
    <w:rPr>
      <w:rFonts w:ascii="仿宋" w:hAnsi="仿宋" w:eastAsia="宋体" w:cs="仿宋"/>
      <w:kern w:val="2"/>
      <w:sz w:val="21"/>
      <w:szCs w:val="22"/>
      <w:lang w:val="zh-CN" w:bidi="zh-CN"/>
    </w:rPr>
  </w:style>
  <w:style w:type="character" w:customStyle="1" w:styleId="21">
    <w:name w:val="批注框文本 Char"/>
    <w:basedOn w:val="13"/>
    <w:link w:val="7"/>
    <w:semiHidden/>
    <w:qFormat/>
    <w:uiPriority w:val="99"/>
    <w:rPr>
      <w:rFonts w:ascii="微软雅黑" w:hAnsi="微软雅黑" w:eastAsia="微软雅黑" w:cs="微软雅黑"/>
      <w:color w:val="000000"/>
      <w:kern w:val="2"/>
      <w:sz w:val="18"/>
      <w:szCs w:val="18"/>
    </w:rPr>
  </w:style>
  <w:style w:type="paragraph" w:customStyle="1" w:styleId="22">
    <w:name w:val="Table Paragraph"/>
    <w:basedOn w:val="1"/>
    <w:qFormat/>
    <w:uiPriority w:val="0"/>
    <w:pPr>
      <w:autoSpaceDE w:val="0"/>
      <w:autoSpaceDN w:val="0"/>
      <w:jc w:val="left"/>
    </w:pPr>
    <w:rPr>
      <w:rFonts w:ascii="仿宋" w:hAnsi="仿宋" w:eastAsia="仿宋" w:cs="仿宋"/>
      <w:kern w:val="0"/>
      <w:sz w:val="22"/>
      <w:szCs w:val="22"/>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163</Pages>
  <Words>11397</Words>
  <Characters>13333</Characters>
  <Lines>386</Lines>
  <Paragraphs>108</Paragraphs>
  <TotalTime>12</TotalTime>
  <ScaleCrop>false</ScaleCrop>
  <LinksUpToDate>false</LinksUpToDate>
  <CharactersWithSpaces>14380</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2023-04-15T09:53:00Z</dcterms:created>
  <dc:creator>cxy</dc:creator>
  <cp:lastModifiedBy>幸福的使者</cp:lastModifiedBy>
  <cp:lastPrinted>2022-03-14T11:55:00Z</cp:lastPrinted>
  <dcterms:modified xsi:type="dcterms:W3CDTF">2024-11-29T03:19:07Z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131F3D1C6C5E459BB8E6DFFC96E05F62</vt:lpwstr>
  </property>
</Properties>
</file>